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EB31E8" w14:textId="77777777" w:rsidR="0012612B" w:rsidRDefault="00FF624E">
      <w:pPr>
        <w:spacing w:after="160" w:line="259" w:lineRule="auto"/>
        <w:ind w:left="0"/>
        <w:jc w:val="right"/>
      </w:pPr>
      <w:r>
        <w:t xml:space="preserve"> Załącznik nr 2 do zapytania ofertowego </w:t>
      </w:r>
    </w:p>
    <w:p w14:paraId="44E68977" w14:textId="77777777" w:rsidR="0012612B" w:rsidRDefault="00FF624E">
      <w:pPr>
        <w:spacing w:after="98" w:line="259" w:lineRule="auto"/>
        <w:ind w:left="0" w:right="7"/>
        <w:jc w:val="center"/>
      </w:pPr>
      <w:r>
        <w:rPr>
          <w:b/>
          <w:bCs/>
        </w:rPr>
        <w:t xml:space="preserve">OPIS PRZEDMIOTU ZAMÓWIENIA </w:t>
      </w:r>
    </w:p>
    <w:p w14:paraId="5B34818E" w14:textId="77777777" w:rsidR="0012612B" w:rsidRDefault="00FF624E">
      <w:pPr>
        <w:ind w:left="-5" w:right="0"/>
        <w:rPr>
          <w:b/>
          <w:bCs/>
        </w:rPr>
      </w:pPr>
      <w:r>
        <w:rPr>
          <w:b/>
          <w:bCs/>
        </w:rPr>
        <w:t>Założenia początkowe oraz wymagania ogólne</w:t>
      </w:r>
    </w:p>
    <w:p w14:paraId="085B10F0" w14:textId="77777777" w:rsidR="0012612B" w:rsidRDefault="00FF624E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Przedmiot zamówienia jest realizowany w ramach grantu pn. „Cyberbezpieczny Samorząd” współfinansowanego ze środków Unii Europejskiej: Priorytet II: Zaawansowane usługi cyfrowe Działanie 2.2. - Wzmocnienie krajowego systemu cyberbezpieczeństwa, Fundusze Europejskie na Rozwój Cyfrowy 2021-2027.</w:t>
      </w:r>
    </w:p>
    <w:p w14:paraId="28A56D54" w14:textId="77777777" w:rsidR="0012612B" w:rsidRDefault="00FF624E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ind w:right="0"/>
      </w:pPr>
      <w:r>
        <w:rPr>
          <w:color w:val="000000"/>
        </w:rPr>
        <w:t>Realizacja grantu ma na celu podniesienie cyberbezpieczeństwa oraz zdolności do skutecznego zapobiegania incydentom bezpieczeństwa teleinformatycznego w Gminie Kije</w:t>
      </w:r>
    </w:p>
    <w:p w14:paraId="6D5FF472" w14:textId="77777777" w:rsidR="0012612B" w:rsidRDefault="0012612B">
      <w:pPr>
        <w:ind w:left="-5" w:right="0"/>
      </w:pPr>
    </w:p>
    <w:p w14:paraId="1531BDD1" w14:textId="77777777" w:rsidR="0012612B" w:rsidRDefault="00FF624E">
      <w:pPr>
        <w:ind w:left="-5" w:right="0"/>
        <w:rPr>
          <w:b/>
          <w:bCs/>
        </w:rPr>
      </w:pPr>
      <w:r>
        <w:rPr>
          <w:b/>
          <w:bCs/>
        </w:rPr>
        <w:t>Ogólny opis przedmiotu zamówienia</w:t>
      </w:r>
    </w:p>
    <w:p w14:paraId="304BACE7" w14:textId="77777777" w:rsidR="0012612B" w:rsidRDefault="00FF624E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Przedmiot zamówienia obejmuje 3 zadania, które w ramach poszczególnych zadań opisano poniżej.</w:t>
      </w:r>
    </w:p>
    <w:p w14:paraId="6234F9AD" w14:textId="77777777" w:rsidR="0012612B" w:rsidRDefault="00FF624E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Przedmiot zamówienia musi być dostarczony, wdrożony i zainstalowany w całości w siedzibie Zamawiającego (Urząd Gminy Kije) we wskazanym miejscu.</w:t>
      </w:r>
    </w:p>
    <w:p w14:paraId="255B40EF" w14:textId="77777777" w:rsidR="0012612B" w:rsidRDefault="00FF624E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Wszystkie dostarczane Produkty (rozumiane jako elementarny efekt działań/prac/dostaw objętych całym zakresem przedmiotu zamówienia wykonywanych przez Wykonawcę podczas realizacji Umowy w poszczególnych Etapach) oraz Komponenty (rozumiane jako integralna część dostawy i wdrożenia przedmiotu zamówienia, składający się przynajmniej z jednego Produktu lub wielu Produktów powiązanych ze sobą merytorycznie) podlegają usługom projektowania, dostaw, instalacji, konfiguracji i wdrożenia.</w:t>
      </w:r>
    </w:p>
    <w:p w14:paraId="38D6D78F" w14:textId="77777777" w:rsidR="0012612B" w:rsidRDefault="00FF624E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Usługi instalacji, konfiguracji i wdrożenia Wykonawca musi przeprowadzić zgodnie z postanowieniami niniejszego OPZ w uzgodnieniu z Zamawiającym, zgodnie z obowiązującymi przepisami, zasadami wykonywania projektów teleinformatycznych oraz najlepszymi praktykami w ich realizacji.</w:t>
      </w:r>
    </w:p>
    <w:p w14:paraId="25184E69" w14:textId="77777777" w:rsidR="0012612B" w:rsidRDefault="00FF624E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Wykonawca jest zobowiązany do realizacji Przedmiotu Zamówienia zgodnie z zasadami i wytycznymi Zamawiającego, zapisami OPZ oraz Wzoru Umowy.</w:t>
      </w:r>
    </w:p>
    <w:p w14:paraId="3084D43C" w14:textId="77777777" w:rsidR="0012612B" w:rsidRDefault="00FF624E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ind w:right="0"/>
      </w:pPr>
      <w:r>
        <w:rPr>
          <w:color w:val="000000"/>
        </w:rPr>
        <w:t>Ilekroć w niniejszym OPZ Zamawiający użył w opisie oznaczeń norm, aprobat, specyfikacji technicznych i systemów odniesienia należy je rozumieć jako przykładowe. Zamawiający dopuszcza rozwiązanie równoważne opisywanym w treści OPZ. Jeżeli zapisy zawarte w OPZ wskazywałyby w odniesieniu do rozwiązań, materiałów lub urządzeń znaki towarowe lub pochodzenie Zamawiający dopuszcza składanie ofert na rozwiązania równoważne. Wszelkie „produkty” pochodzące od konkretnych producentów określają minimalne parametry jako</w:t>
      </w:r>
      <w:r>
        <w:rPr>
          <w:color w:val="000000"/>
        </w:rPr>
        <w:t>ściowe i cechy użytkowe, jakim musi odpowiadać produkt, aby spełnić wymagania stawiane przez Zamawiającego stanowią wyłącznie wzorzec jakościowy przedmiotu zamówienia. Poprzez zapis dot. minimalnych wymagań parametrów jakościowych Zamawiający rozumie wymagania materiałów, sprzętu i urządzeń zawarte w ogólnie dostępnych źródłach, katalogach, stronach internetowych producentów. Operowanie przykładowymi nazwami producenta ma jedynie na celu doprecyzowanie poziomu oczekiwań Zamawiającego w stosunku do określone</w:t>
      </w:r>
      <w:r>
        <w:rPr>
          <w:color w:val="000000"/>
        </w:rPr>
        <w:t xml:space="preserve">go rozwiązania. Tak więc posługiwanie się nazwami producentów /produktów/ ma wyłącznie charakter przykładowy. Zamawiający, przy opisie przedmiotu zamówienia, wskazując oznaczenie konkretnego producenta (dostawcy) lub konkretny produkt, dopuszcza jednocześnie produkty równoważne o parametrach jakościowych i cechach użytkowych, co najmniej na poziomie parametrów wskazanego produktu, uznając tym samym każdy produkt o wskazanych parametrach lub lepszych. W takiej sytuacji Zamawiający wymaga złożenia stosownych </w:t>
      </w:r>
      <w:r>
        <w:rPr>
          <w:color w:val="000000"/>
        </w:rPr>
        <w:t>dokumentów, wykazujących spełnienie przez produkty równoważne ww. parametrów i cech.</w:t>
      </w:r>
    </w:p>
    <w:p w14:paraId="72CEBD36" w14:textId="77777777" w:rsidR="0012612B" w:rsidRDefault="00FF624E">
      <w:pPr>
        <w:pStyle w:val="Nagwek1"/>
        <w:tabs>
          <w:tab w:val="left" w:pos="426"/>
        </w:tabs>
        <w:spacing w:before="146"/>
      </w:pPr>
      <w:r>
        <w:lastRenderedPageBreak/>
        <w:t>Zakres zamówienia</w:t>
      </w:r>
    </w:p>
    <w:p w14:paraId="003DC266" w14:textId="77777777" w:rsidR="0012612B" w:rsidRDefault="00FF624E">
      <w:pPr>
        <w:widowControl w:val="0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926"/>
          <w:tab w:val="left" w:pos="927"/>
        </w:tabs>
        <w:spacing w:before="94" w:after="0" w:line="240" w:lineRule="auto"/>
        <w:ind w:right="0"/>
        <w:rPr>
          <w:b/>
          <w:bCs/>
          <w:color w:val="000000"/>
        </w:rPr>
      </w:pPr>
      <w:r>
        <w:rPr>
          <w:b/>
          <w:bCs/>
          <w:color w:val="000000"/>
        </w:rPr>
        <w:t>Zakres zamówienia obejmuje 3 zadania:</w:t>
      </w:r>
    </w:p>
    <w:p w14:paraId="5C57673E" w14:textId="77777777" w:rsidR="0012612B" w:rsidRDefault="00FF624E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after="0" w:line="252" w:lineRule="auto"/>
        <w:ind w:left="1418" w:right="0" w:hanging="709"/>
      </w:pPr>
      <w:r>
        <w:rPr>
          <w:color w:val="000000"/>
          <w:u w:val="single"/>
        </w:rPr>
        <w:t>Zadanie 1 –</w:t>
      </w:r>
      <w:r>
        <w:rPr>
          <w:color w:val="000000"/>
        </w:rPr>
        <w:t xml:space="preserve"> świadczenie usługi wdrożenia 1 szt. systemu monitorowania infrastruktury informatycznej, obejmującej jego instalację, konfigurację oraz integrację w środowisku Zamawiającego.</w:t>
      </w:r>
    </w:p>
    <w:p w14:paraId="2020AB77" w14:textId="77777777" w:rsidR="0012612B" w:rsidRDefault="00FF624E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after="0" w:line="252" w:lineRule="auto"/>
        <w:ind w:left="1418" w:right="0" w:hanging="709"/>
      </w:pPr>
      <w:r>
        <w:rPr>
          <w:color w:val="000000"/>
          <w:u w:val="single"/>
        </w:rPr>
        <w:t>Zadanie 2 –</w:t>
      </w:r>
      <w:r>
        <w:rPr>
          <w:color w:val="000000"/>
        </w:rPr>
        <w:t xml:space="preserve"> świadczenie usługi wdrożenia systemu kontroli dostępu do sieci (Network Access Control), obejmującej jego instalację, konfigurację, integrację oraz uruchomienie w środowisku Zamawiającego.</w:t>
      </w:r>
    </w:p>
    <w:p w14:paraId="205EB259" w14:textId="77777777" w:rsidR="0012612B" w:rsidRDefault="00FF624E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after="0" w:line="252" w:lineRule="auto"/>
        <w:ind w:left="1418" w:right="0" w:hanging="709"/>
        <w:rPr>
          <w:color w:val="000000"/>
        </w:rPr>
      </w:pPr>
      <w:r>
        <w:rPr>
          <w:color w:val="000000"/>
          <w:u w:val="single"/>
        </w:rPr>
        <w:t>Zadanie 3 -</w:t>
      </w:r>
      <w:r>
        <w:rPr>
          <w:color w:val="000000"/>
        </w:rPr>
        <w:t xml:space="preserve"> świadczenie usługi obejmującej: montaż oraz konfigurację nowych komponentów infrastruktury serwerowej, montaż oraz konfigurację nowych komponentów przechowywania danych w oparciu o rozwiązanie NAS, montaż oraz konfigurację nowych komponentów infrastruktury sieciowej, migrację środowiska wirtualizacyjnego VMware, migrację kontrolera domeny opartego o system Windows Server.</w:t>
      </w:r>
    </w:p>
    <w:p w14:paraId="6BECCA0F" w14:textId="77777777" w:rsidR="0012612B" w:rsidRDefault="0012612B">
      <w:pPr>
        <w:ind w:left="-5" w:right="0"/>
        <w:rPr>
          <w:b/>
          <w:bCs/>
        </w:rPr>
      </w:pPr>
    </w:p>
    <w:p w14:paraId="76109775" w14:textId="77777777" w:rsidR="0012612B" w:rsidRDefault="00FF624E">
      <w:pPr>
        <w:ind w:left="-5" w:right="0"/>
        <w:rPr>
          <w:b/>
          <w:bCs/>
        </w:rPr>
      </w:pPr>
      <w:r>
        <w:rPr>
          <w:b/>
          <w:bCs/>
        </w:rPr>
        <w:t>Termin realizacji Przedmiotu Zamówienia</w:t>
      </w:r>
    </w:p>
    <w:p w14:paraId="758F6700" w14:textId="6DAB5D68" w:rsidR="0012612B" w:rsidRDefault="00FF624E">
      <w:pPr>
        <w:ind w:right="0"/>
      </w:pPr>
      <w:r>
        <w:t>Zamawiający wymaga wykonania przedmiotu zamówienia wszystkich 3 zadań w terminach wskazanych jako maksymalne licząc od daty zawarcia umowy</w:t>
      </w:r>
      <w:r w:rsidR="009A181E">
        <w:t xml:space="preserve"> (jednak nie później niż do 31 maja 2026)</w:t>
      </w:r>
      <w:r>
        <w:t>:</w:t>
      </w:r>
    </w:p>
    <w:p w14:paraId="196F62D0" w14:textId="77777777" w:rsidR="0012612B" w:rsidRDefault="00FF62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>Zadanie nr 1 – 60dni</w:t>
      </w:r>
    </w:p>
    <w:p w14:paraId="612E8A1F" w14:textId="77777777" w:rsidR="0012612B" w:rsidRDefault="00FF62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>Zadanie nr 2 – 60 dni</w:t>
      </w:r>
    </w:p>
    <w:p w14:paraId="5175A8D1" w14:textId="77777777" w:rsidR="0012612B" w:rsidRDefault="00FF62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0" w:firstLine="4"/>
      </w:pPr>
      <w:r>
        <w:rPr>
          <w:color w:val="000000"/>
        </w:rPr>
        <w:t>Zadanie nr 3 – 60 dni</w:t>
      </w:r>
    </w:p>
    <w:p w14:paraId="29DA46CC" w14:textId="77777777" w:rsidR="0012612B" w:rsidRDefault="0012612B">
      <w:pPr>
        <w:ind w:left="-5" w:right="0"/>
      </w:pPr>
    </w:p>
    <w:p w14:paraId="35DAD707" w14:textId="77777777" w:rsidR="0012612B" w:rsidRDefault="00FF624E">
      <w:pPr>
        <w:ind w:left="-5" w:right="0"/>
        <w:rPr>
          <w:b/>
          <w:bCs/>
        </w:rPr>
      </w:pPr>
      <w:r>
        <w:rPr>
          <w:b/>
          <w:bCs/>
        </w:rPr>
        <w:t>Organizacja wdrożenia – założenia podstawowe</w:t>
      </w:r>
    </w:p>
    <w:p w14:paraId="2777F5FF" w14:textId="77777777" w:rsidR="0012612B" w:rsidRDefault="00FF624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Przedmiot Zamówienia będzie realizowany w oparciu o zdefiniowany uprzednio przez Wykonawcę i zaakceptowany Harmonogram wdrożenia, który musi być uzgodniony i zaakceptowany przez Zamawiającego oraz odpowiednio utrzymywany w toku realizacji Przedmiotu Zamówienia. Wykonawca musi przedstawić Harmonogram wdrożenia w terminie do 7 dni od daty zawarcia umowy.</w:t>
      </w:r>
    </w:p>
    <w:p w14:paraId="4024F1EE" w14:textId="77777777" w:rsidR="0012612B" w:rsidRDefault="00FF624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Wykonawca w Harmonogramie wdrożenia musi w szczególności uwzględnić podział na zadania takie jak: projektowanie, dostawy, usługi instalacji/konfiguracji, testowanie, wdrożenie i odbiory.</w:t>
      </w:r>
    </w:p>
    <w:p w14:paraId="64621D70" w14:textId="77777777" w:rsidR="0012612B" w:rsidRDefault="00FF624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Wykonawca umożliwi Zamawiającemu udział we wszystkich realizowanych przez niego pracach w ramach realizacji Przedmiotu Zamówienia (m.in. w czasie projektowania, dostawach, instalacji, konfiguracji, wdrożeniu i testowaniu).</w:t>
      </w:r>
    </w:p>
    <w:p w14:paraId="231033B2" w14:textId="77777777" w:rsidR="0012612B" w:rsidRDefault="00FF624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 xml:space="preserve">Wykonawca zobowiązany jest do udziału, na wezwanie Zamawiającego, w naradach przeglądu prac prowadzonych w trybie zdalnym z wykorzystaniem narzędzi komunikacji elektronicznej, które zapewni Wykonawca. </w:t>
      </w:r>
    </w:p>
    <w:p w14:paraId="3F9BFD9E" w14:textId="77777777" w:rsidR="0012612B" w:rsidRDefault="00FF624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Wykonawca zobowiązany jest przeprowadzić prace wdrożeniowe przedmiotu zamówienia w dokładnych terminach i godzinach uzgodnionych z Zamawiającym.</w:t>
      </w:r>
    </w:p>
    <w:p w14:paraId="5E5D7AF3" w14:textId="77777777" w:rsidR="0012612B" w:rsidRDefault="00FF624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Wdrożenie należy rozumieć jako szereg uporządkowanych i zorganizowanych działań mających na celu wykonanie przedmiotu zamówienia.</w:t>
      </w:r>
    </w:p>
    <w:p w14:paraId="4342B357" w14:textId="77777777" w:rsidR="0012612B" w:rsidRDefault="00FF624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Wdrożenie będzie realizowane w ramach powołanych do tego celu struktur organizacyjnych po stronie Wykonawcy.</w:t>
      </w:r>
    </w:p>
    <w:p w14:paraId="70E6DC21" w14:textId="77777777" w:rsidR="0012612B" w:rsidRDefault="00FF624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 ramach wdrożenia Wykonawca musi przygotować informacje na temat struktury organizacyjnej Zespołu Wykonawcy zajmującej się realizacją przedmiotu zamówienia. Zamawiający dopuszcza połączenie ról w ramach jednego przedstawiciela Wykonawcy.</w:t>
      </w:r>
    </w:p>
    <w:p w14:paraId="6397E1C9" w14:textId="77777777" w:rsidR="0012612B" w:rsidRDefault="00FF624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lastRenderedPageBreak/>
        <w:tab/>
        <w:t>Wdrożenie, z zastrzeżeniami osoby / osób wskazanych poniżej musi realizować osoba / osoby wymienione w ofercie Wykonawcy, przy czym:</w:t>
      </w:r>
    </w:p>
    <w:p w14:paraId="54BDC957" w14:textId="77777777" w:rsidR="0012612B" w:rsidRDefault="00FF624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  <w:rPr>
          <w:color w:val="000000"/>
        </w:rPr>
      </w:pPr>
      <w:r>
        <w:rPr>
          <w:color w:val="000000"/>
        </w:rPr>
        <w:t>Osoba / osoby Zespołu Wykonawcy muszą być dyspozycyjne w trakcie wykonywania prac,</w:t>
      </w:r>
    </w:p>
    <w:p w14:paraId="0FE1E8F9" w14:textId="77777777" w:rsidR="0012612B" w:rsidRDefault="00FF624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1418" w:right="0" w:hanging="709"/>
        <w:rPr>
          <w:color w:val="000000"/>
        </w:rPr>
      </w:pPr>
      <w:r>
        <w:rPr>
          <w:color w:val="000000"/>
        </w:rPr>
        <w:t>Wykonawca musi przekazać Zamawiającemu wykaz numerów telefonów kontaktowych do kluczowych osób biorących udział w realizacji Przedmiotu Zamówienia.</w:t>
      </w:r>
    </w:p>
    <w:p w14:paraId="68B34E2E" w14:textId="77777777" w:rsidR="0012612B" w:rsidRDefault="0012612B">
      <w:pPr>
        <w:ind w:left="-5" w:right="0"/>
      </w:pPr>
    </w:p>
    <w:p w14:paraId="41CB1D9E" w14:textId="77777777" w:rsidR="0012612B" w:rsidRDefault="00FF624E">
      <w:pPr>
        <w:ind w:left="-5" w:right="0"/>
        <w:rPr>
          <w:b/>
          <w:bCs/>
        </w:rPr>
      </w:pPr>
      <w:r>
        <w:rPr>
          <w:b/>
          <w:bCs/>
        </w:rPr>
        <w:t>Przygotowanie Dokumentacji</w:t>
      </w:r>
    </w:p>
    <w:p w14:paraId="283C073F" w14:textId="77777777" w:rsidR="0012612B" w:rsidRDefault="00FF624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 ramach realizowanych prac Wykonawca musi opracować dla Zamawiającego Dokumentację Przedmiotu Zamówienia (zwaną dalej Dokumentacją), która składa się z nw. zakresów:</w:t>
      </w:r>
    </w:p>
    <w:p w14:paraId="21EED55A" w14:textId="77777777" w:rsidR="0012612B" w:rsidRDefault="00FF624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>Harmonogram wdrożenia,</w:t>
      </w:r>
    </w:p>
    <w:p w14:paraId="627BB2E3" w14:textId="77777777" w:rsidR="0012612B" w:rsidRDefault="00FF624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>Dokumentacja powykonawcza.</w:t>
      </w:r>
    </w:p>
    <w:p w14:paraId="3E8A9C76" w14:textId="77777777" w:rsidR="0012612B" w:rsidRDefault="00FF624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  <w:rPr>
          <w:color w:val="000000"/>
        </w:rPr>
      </w:pPr>
      <w:r>
        <w:rPr>
          <w:color w:val="000000"/>
        </w:rPr>
        <w:t>Dokumentacja powyższa musi zawierać bazowe zapisy opisujące budowane rozwiązania oraz sposób organizacji prac i wdrożenia. Na podstawie zapisów w dokumentacji będą prowadzone i odbierane poszczególne etapy realizowane w ramach przedmiotu zamówienia. Dokumenty te wraz ze OPZ i załącznikami będą stanowiły podstawę do weryfikacji wdrożenia w trakcie odbiorów.</w:t>
      </w:r>
    </w:p>
    <w:p w14:paraId="66A12738" w14:textId="77777777" w:rsidR="0012612B" w:rsidRDefault="00FF624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Dokumentacja podlega uzgadnianiu i akceptacji Zamawiającego. Akceptacja Harmonogramu wdrożenia warunkuje rozpoczęcie prac Wykonawcy.</w:t>
      </w:r>
    </w:p>
    <w:p w14:paraId="4F6A6CB4" w14:textId="77777777" w:rsidR="0012612B" w:rsidRDefault="00FF624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right="0"/>
      </w:pPr>
      <w:r>
        <w:rPr>
          <w:color w:val="000000"/>
        </w:rPr>
        <w:t>Dokumentacja wraz z harmonogramem wdrożenia muszą być opracowane w oparciu o wymagania określone w OPZ.</w:t>
      </w:r>
    </w:p>
    <w:p w14:paraId="40D91BAB" w14:textId="77777777" w:rsidR="0012612B" w:rsidRDefault="0012612B">
      <w:pPr>
        <w:ind w:left="-5" w:right="0"/>
      </w:pPr>
    </w:p>
    <w:p w14:paraId="640746A3" w14:textId="77777777" w:rsidR="0012612B" w:rsidRDefault="00FF624E">
      <w:pPr>
        <w:ind w:left="-5" w:right="0"/>
        <w:rPr>
          <w:b/>
          <w:bCs/>
        </w:rPr>
      </w:pPr>
      <w:r>
        <w:rPr>
          <w:b/>
          <w:bCs/>
        </w:rPr>
        <w:t>Dokumentacja Powykonawcza</w:t>
      </w:r>
    </w:p>
    <w:p w14:paraId="062DBB0D" w14:textId="77777777" w:rsidR="0012612B" w:rsidRDefault="00FF624E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Warunkiem dokonania Odbioru Końcowego jest dostarczenie przez Wykonawcę Dokumentacji Powykonawczej obejmującej dokumentację użytkową, techniczną i eksploatacyjną. Dokumentacja Powykonawcza musi być dostarczona w języku polskim, w wersji elektronicznej w formacie edytowalnym.</w:t>
      </w:r>
    </w:p>
    <w:p w14:paraId="236DA16A" w14:textId="77777777" w:rsidR="0012612B" w:rsidRDefault="00FF624E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 dokumentacji muszą być zawarte opisy wszelkich cech, właściwości i funkcjonalności pozwalających na poprawną z punktu widzenia technicznego eksploatację rozwiązań.</w:t>
      </w:r>
    </w:p>
    <w:p w14:paraId="3FD6221F" w14:textId="77777777" w:rsidR="0012612B" w:rsidRDefault="00FF624E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 szczególności dokumentacja ta musi zawierać:</w:t>
      </w:r>
    </w:p>
    <w:p w14:paraId="14E7C519" w14:textId="77777777" w:rsidR="0012612B" w:rsidRDefault="00FF624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 xml:space="preserve">Schemat infrastruktury i architekturę rozwiązania wraz z opisem. </w:t>
      </w:r>
    </w:p>
    <w:p w14:paraId="1A810EA6" w14:textId="77777777" w:rsidR="0012612B" w:rsidRDefault="00FF624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 xml:space="preserve">Zasady licencjonowania dostarczonych elementów. </w:t>
      </w:r>
    </w:p>
    <w:p w14:paraId="641BC37B" w14:textId="77777777" w:rsidR="0012612B" w:rsidRDefault="00FF624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 xml:space="preserve">Konfigurację sprzętową i logiczną elementów infrastruktury dla wdrożonych systemów. </w:t>
      </w:r>
    </w:p>
    <w:p w14:paraId="182722F9" w14:textId="77777777" w:rsidR="0012612B" w:rsidRDefault="00FF624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 xml:space="preserve">Procedury uruchamiania, zatrzymywania wdrożonych systemów oraz elementów infrastruktury. </w:t>
      </w:r>
    </w:p>
    <w:p w14:paraId="30756367" w14:textId="77777777" w:rsidR="0012612B" w:rsidRDefault="00FF624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 xml:space="preserve">Procedury awaryjne umożliwiające dostęp do infrastruktury w przypadku awarii. </w:t>
      </w:r>
    </w:p>
    <w:p w14:paraId="2273420F" w14:textId="77777777" w:rsidR="0012612B" w:rsidRDefault="00FF624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 xml:space="preserve">Procedury wykonywania odtworzenia wdrożonych systemów z kopii zapasowej. </w:t>
      </w:r>
    </w:p>
    <w:p w14:paraId="3AB9F28C" w14:textId="77777777" w:rsidR="0012612B" w:rsidRDefault="00FF624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 xml:space="preserve">Procedury opisujące standardowe działania administracyjne. </w:t>
      </w:r>
    </w:p>
    <w:p w14:paraId="0A9AA813" w14:textId="77777777" w:rsidR="0012612B" w:rsidRDefault="00FF624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 xml:space="preserve">Wytyczne (dobre praktyki) dla administratorów. </w:t>
      </w:r>
    </w:p>
    <w:p w14:paraId="6A2E91C1" w14:textId="77777777" w:rsidR="0012612B" w:rsidRDefault="00FF624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ind w:right="0" w:firstLine="4"/>
      </w:pPr>
      <w:r>
        <w:rPr>
          <w:color w:val="000000"/>
        </w:rPr>
        <w:t>Spis dokumentacji zewnętrznej, do której odwołuje się Dokumentacja Powykonawcza.</w:t>
      </w:r>
    </w:p>
    <w:p w14:paraId="179A8370" w14:textId="77777777" w:rsidR="0012612B" w:rsidRDefault="0012612B">
      <w:pPr>
        <w:ind w:left="-5" w:right="0"/>
      </w:pPr>
    </w:p>
    <w:p w14:paraId="1DB12FDD" w14:textId="77777777" w:rsidR="0012612B" w:rsidRDefault="00FF624E">
      <w:pPr>
        <w:ind w:left="-5" w:right="0"/>
        <w:rPr>
          <w:b/>
          <w:bCs/>
        </w:rPr>
      </w:pPr>
      <w:r>
        <w:rPr>
          <w:b/>
          <w:bCs/>
        </w:rPr>
        <w:t>Odbiór Końcowy</w:t>
      </w:r>
    </w:p>
    <w:p w14:paraId="3185F266" w14:textId="77777777" w:rsidR="0012612B" w:rsidRDefault="00FF624E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Odbiór końcowy przedmiotu zamówienia ma na celu potwierdzenie wykonania wszystkich zadań wynikających z Umowy, w tym odebrania wszystkich Komponentów i Etapów oraz dostarczenia wymaganej zamówieniem Dokumentacji.</w:t>
      </w:r>
    </w:p>
    <w:p w14:paraId="7AB106F9" w14:textId="77777777" w:rsidR="0012612B" w:rsidRDefault="00FF624E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ind w:right="0"/>
      </w:pPr>
      <w:r>
        <w:rPr>
          <w:color w:val="000000"/>
        </w:rPr>
        <w:t>Odbiory będą odbywać się zgodnie z zapisami w Umowie.</w:t>
      </w:r>
    </w:p>
    <w:p w14:paraId="74656914" w14:textId="77777777" w:rsidR="0012612B" w:rsidRDefault="0012612B">
      <w:pPr>
        <w:ind w:left="-5" w:right="0"/>
      </w:pPr>
    </w:p>
    <w:p w14:paraId="717D1062" w14:textId="77777777" w:rsidR="0012612B" w:rsidRDefault="00FF624E">
      <w:pPr>
        <w:ind w:left="-5" w:right="0"/>
        <w:rPr>
          <w:b/>
          <w:bCs/>
        </w:rPr>
      </w:pPr>
      <w:r>
        <w:rPr>
          <w:b/>
          <w:bCs/>
        </w:rPr>
        <w:t>Testy</w:t>
      </w:r>
    </w:p>
    <w:p w14:paraId="65EA83FF" w14:textId="77777777" w:rsidR="0012612B" w:rsidRDefault="00FF624E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 ramach odbioru przedmiotu zamówienia muszą zostać przeprowadzone wszystkie testy opisane w Dokumentacji. Celem testów jest weryfikacja przez Zamawiającego czy wszystkie prace wykonane w trakcie realizacji przedmiotu zamówienia zostały wykonane prawidłowo i zgodnie z założeniami funkcjonalnymi i jakościowymi. Testy będą przeprowadzane przez Wykonawcę przy współudziale Zamawiającego, jak i wskazanych przez Zamawiającego osób i podmiotów zewnętrznych.</w:t>
      </w:r>
    </w:p>
    <w:p w14:paraId="70D6CC56" w14:textId="77777777" w:rsidR="0012612B" w:rsidRDefault="00FF624E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Pozytywne zakończenie testów wraz z usunięciem wskazanych Wad jest niezbędne, aby dla poszczególnych Komponentów oraz całego przedmiotu zamówienia dokonać odbiorów w ramach poszczególnych Etapów i Odbioru Końcowego.</w:t>
      </w:r>
    </w:p>
    <w:p w14:paraId="7B6A055C" w14:textId="77777777" w:rsidR="0012612B" w:rsidRDefault="00FF624E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Zamawiający ma prawo do weryfikacji należytego wykonania Umowy dowolną metodą, w tym także z wykorzystaniem opinii zewnętrznego audytora. W szczególności uzgodnienie określonych scenariuszy testowych nie wyklucza prawa do weryfikacji prac innymi testami i scenariuszami.</w:t>
      </w:r>
    </w:p>
    <w:p w14:paraId="2D5CA005" w14:textId="77777777" w:rsidR="0012612B" w:rsidRDefault="00FF624E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>W przypadku zidentyfikowania błędów lub wad Wykonawca jest zobowiązany do ich poprawy przed Odbiorem Końcowym przedmiotu zamówienia.</w:t>
      </w:r>
    </w:p>
    <w:p w14:paraId="5573B48F" w14:textId="77777777" w:rsidR="0012612B" w:rsidRDefault="00FF624E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</w:pPr>
      <w:r>
        <w:rPr>
          <w:color w:val="000000"/>
        </w:rPr>
        <w:t xml:space="preserve">Zamawiający wymaga aby Wykonawca przeprowadził testy odbiorcze z zakresu:  </w:t>
      </w:r>
    </w:p>
    <w:p w14:paraId="52E2BC7F" w14:textId="77777777" w:rsidR="0012612B" w:rsidRDefault="00FF624E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 xml:space="preserve">Uruchamianie i zatrzymywanie wdrożonych systemów </w:t>
      </w:r>
    </w:p>
    <w:p w14:paraId="5F663937" w14:textId="77777777" w:rsidR="0012612B" w:rsidRDefault="00FF624E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  <w:rPr>
          <w:color w:val="000000"/>
        </w:rPr>
      </w:pPr>
      <w:r>
        <w:rPr>
          <w:color w:val="000000"/>
        </w:rPr>
        <w:t xml:space="preserve">Weryfikacja wdrożonych systemów zgodnie ze scenariuszami opisanymi w dokumentacji. </w:t>
      </w:r>
    </w:p>
    <w:p w14:paraId="6FADCE17" w14:textId="77777777" w:rsidR="0012612B" w:rsidRDefault="00FF624E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 w:firstLine="4"/>
      </w:pPr>
      <w:r>
        <w:rPr>
          <w:color w:val="000000"/>
        </w:rPr>
        <w:t xml:space="preserve">Weryfikacja poprawności działania procedur. </w:t>
      </w:r>
    </w:p>
    <w:p w14:paraId="79C843C2" w14:textId="77777777" w:rsidR="0012612B" w:rsidRDefault="00FF624E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ind w:right="0" w:firstLine="4"/>
      </w:pPr>
      <w:r>
        <w:rPr>
          <w:color w:val="000000"/>
        </w:rPr>
        <w:t xml:space="preserve">Symulację awarii wdrożonych systemów. </w:t>
      </w:r>
    </w:p>
    <w:p w14:paraId="12DC6FFA" w14:textId="77777777" w:rsidR="0012612B" w:rsidRDefault="0012612B">
      <w:pPr>
        <w:ind w:left="-5" w:right="0"/>
      </w:pPr>
    </w:p>
    <w:p w14:paraId="2DC07F19" w14:textId="77777777" w:rsidR="0012612B" w:rsidRDefault="00FF624E">
      <w:pPr>
        <w:ind w:left="-5" w:right="0"/>
        <w:rPr>
          <w:b/>
          <w:bCs/>
        </w:rPr>
      </w:pPr>
      <w:r>
        <w:rPr>
          <w:b/>
          <w:bCs/>
        </w:rPr>
        <w:t>Dodatkowe zobowiązania Wykonawcy</w:t>
      </w:r>
    </w:p>
    <w:p w14:paraId="4CD89B2D" w14:textId="77777777" w:rsidR="0012612B" w:rsidRDefault="00FF624E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  <w:rPr>
          <w:color w:val="000000"/>
        </w:rPr>
      </w:pPr>
      <w:r>
        <w:rPr>
          <w:color w:val="000000"/>
        </w:rPr>
        <w:t>Wykonanie przedmiotu zamówienia z efektywnością oraz zgodnie z praktyką i wiedzą zawodową.</w:t>
      </w:r>
    </w:p>
    <w:p w14:paraId="2CC5F6EC" w14:textId="77777777" w:rsidR="0012612B" w:rsidRDefault="00FF624E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  <w:rPr>
          <w:color w:val="000000"/>
        </w:rPr>
      </w:pPr>
      <w:r>
        <w:rPr>
          <w:color w:val="000000"/>
        </w:rPr>
        <w:t>Dokonanie z Zamawiającym wszelkich koniecznych ustaleń mogących wpływać na zakres i sposób realizacji Przedmiotu Zamówienia oraz ciągła współpraca z Zamawiającymi na każdym etapie realizacji.</w:t>
      </w:r>
    </w:p>
    <w:p w14:paraId="419E92F3" w14:textId="77777777" w:rsidR="0012612B" w:rsidRDefault="00FF624E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  <w:rPr>
          <w:color w:val="000000"/>
        </w:rPr>
      </w:pPr>
      <w:r>
        <w:rPr>
          <w:color w:val="000000"/>
        </w:rPr>
        <w:t>Stosowanie się do wytycznych i polityk bezpieczeństwa informacji obowiązujących u Zamawiającego.</w:t>
      </w:r>
    </w:p>
    <w:p w14:paraId="7B785E99" w14:textId="77777777" w:rsidR="0012612B" w:rsidRDefault="00FF624E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0"/>
        <w:rPr>
          <w:color w:val="000000"/>
        </w:rPr>
      </w:pPr>
      <w:r>
        <w:rPr>
          <w:color w:val="000000"/>
        </w:rPr>
        <w:t>Udzielanie na każde żądanie Zamawiającego pełnej informacji na temat stanu realizacji Przedmiotu Zamówienia.</w:t>
      </w:r>
    </w:p>
    <w:p w14:paraId="53D20A1E" w14:textId="77777777" w:rsidR="0012612B" w:rsidRDefault="00FF624E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ind w:right="0"/>
        <w:rPr>
          <w:color w:val="000000"/>
        </w:rPr>
      </w:pPr>
      <w:r>
        <w:rPr>
          <w:color w:val="000000"/>
        </w:rPr>
        <w:t>Współdziałanie z osobami wskazanymi przez Zamawiającego.</w:t>
      </w:r>
    </w:p>
    <w:p w14:paraId="3BDB0886" w14:textId="77777777" w:rsidR="0012612B" w:rsidRDefault="0012612B">
      <w:pPr>
        <w:pStyle w:val="Nagwek1"/>
      </w:pPr>
      <w:bookmarkStart w:id="0" w:name="_heading=h.il2tk9o2h8rm" w:colFirst="0" w:colLast="0"/>
      <w:bookmarkEnd w:id="0"/>
    </w:p>
    <w:p w14:paraId="5CE2DE89" w14:textId="77777777" w:rsidR="0012612B" w:rsidRDefault="00FF624E">
      <w:pPr>
        <w:pStyle w:val="Nagwek1"/>
      </w:pPr>
      <w:r>
        <w:t>Gwarancja</w:t>
      </w:r>
    </w:p>
    <w:p w14:paraId="06801027" w14:textId="77777777" w:rsidR="0012612B" w:rsidRDefault="00FF624E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713"/>
        </w:tabs>
        <w:spacing w:after="0" w:line="276" w:lineRule="auto"/>
        <w:ind w:right="0"/>
        <w:rPr>
          <w:color w:val="000000"/>
          <w:sz w:val="24"/>
          <w:szCs w:val="24"/>
        </w:rPr>
      </w:pPr>
      <w:r>
        <w:rPr>
          <w:color w:val="000000"/>
        </w:rPr>
        <w:t>Wykonawca w ramach realizacji przedmiotu zamówienia udzieli Zamawiającemu gwarancji jakości (dalej zwanej „gwarancją”) na okres 12 mcy od daty podpisania Protokołu Końcowego bez uwag przez Zamawiającego.</w:t>
      </w:r>
    </w:p>
    <w:p w14:paraId="79F86E99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tabs>
          <w:tab w:val="left" w:pos="713"/>
        </w:tabs>
        <w:spacing w:after="0" w:line="276" w:lineRule="auto"/>
        <w:ind w:left="720" w:right="0"/>
        <w:rPr>
          <w:color w:val="000000"/>
          <w:sz w:val="24"/>
          <w:szCs w:val="24"/>
        </w:rPr>
      </w:pPr>
    </w:p>
    <w:p w14:paraId="4AB7D9E5" w14:textId="77777777" w:rsidR="0012612B" w:rsidRDefault="00FF624E">
      <w:pPr>
        <w:pStyle w:val="Nagwek2"/>
        <w:ind w:left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1" w:name="_heading=h.l6fosd51dvsd" w:colFirst="0" w:colLast="0"/>
      <w:bookmarkEnd w:id="1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Reżimy realizacji usług serwisowych</w:t>
      </w:r>
    </w:p>
    <w:p w14:paraId="0A2EF8D7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tabs>
          <w:tab w:val="left" w:pos="713"/>
        </w:tabs>
        <w:spacing w:after="0" w:line="276" w:lineRule="auto"/>
        <w:ind w:left="0" w:right="38"/>
        <w:rPr>
          <w:rFonts w:ascii="Liberation Serif" w:eastAsia="Liberation Serif" w:hAnsi="Liberation Serif" w:cs="Liberation Serif"/>
          <w:color w:val="000000"/>
          <w:sz w:val="24"/>
          <w:szCs w:val="24"/>
        </w:rPr>
      </w:pPr>
      <w:r>
        <w:rPr>
          <w:color w:val="000000"/>
        </w:rPr>
        <w:t>W okresie gwarancji Wykonawca będzie zobowiązany do nieodpłatnego usuwania Wad Przedmiotu Zamówienia rozumianych jako Awaria lub Usterka zgodnie z definicjami, jak poniżej:</w:t>
      </w:r>
    </w:p>
    <w:p w14:paraId="470D10FE" w14:textId="77777777" w:rsidR="0012612B" w:rsidRDefault="00FF624E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713"/>
        </w:tabs>
        <w:spacing w:after="0" w:line="276" w:lineRule="auto"/>
        <w:ind w:right="0"/>
      </w:pPr>
      <w:r>
        <w:rPr>
          <w:b/>
          <w:bCs/>
          <w:color w:val="000000"/>
        </w:rPr>
        <w:t>Awaria -</w:t>
      </w:r>
      <w:r>
        <w:rPr>
          <w:color w:val="000000"/>
        </w:rPr>
        <w:t xml:space="preserve"> Kategoria wady powodująca brak działania lub niepoprawne działanie Przedmiotu Zamówienia u Zamawiającego, uniemożliwiające jego użytkowanie. Sytuacja, w której </w:t>
      </w:r>
      <w:r>
        <w:rPr>
          <w:color w:val="000000"/>
        </w:rPr>
        <w:lastRenderedPageBreak/>
        <w:t>Oprogramowanie w ogóle nie funkcjonuje lub nie jest możliwe realizowanie istotnych funkcjonalności Komponentów/Produktów Przedmiotu Zamówienia.</w:t>
      </w:r>
    </w:p>
    <w:p w14:paraId="5B51C5A6" w14:textId="77777777" w:rsidR="0012612B" w:rsidRDefault="00FF624E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713"/>
        </w:tabs>
        <w:spacing w:after="0" w:line="276" w:lineRule="auto"/>
        <w:ind w:right="0"/>
      </w:pPr>
      <w:r>
        <w:rPr>
          <w:b/>
          <w:bCs/>
          <w:color w:val="000000"/>
        </w:rPr>
        <w:t>Usterka -</w:t>
      </w:r>
      <w:r>
        <w:rPr>
          <w:color w:val="000000"/>
        </w:rPr>
        <w:t xml:space="preserve"> Należy przez to rozumieć kategorię Wady oznaczająca funkcjonowanie niezgodne z opisem Dokumentacji oraz SOPZ, nie wpływającą istotnie na funkcjonowanie dostarczanego rozwiązania u Zamawiającego, utrudniającą pracę Użytkownikowi Zamawiającego.</w:t>
      </w:r>
    </w:p>
    <w:tbl>
      <w:tblPr>
        <w:tblStyle w:val="a"/>
        <w:tblW w:w="9356" w:type="dxa"/>
        <w:tblInd w:w="-5" w:type="dxa"/>
        <w:tblLayout w:type="fixed"/>
        <w:tblLook w:val="0400" w:firstRow="0" w:lastRow="0" w:firstColumn="0" w:lastColumn="0" w:noHBand="0" w:noVBand="1"/>
      </w:tblPr>
      <w:tblGrid>
        <w:gridCol w:w="1560"/>
        <w:gridCol w:w="1842"/>
        <w:gridCol w:w="1985"/>
        <w:gridCol w:w="2126"/>
        <w:gridCol w:w="1843"/>
      </w:tblGrid>
      <w:tr w:rsidR="0012612B" w14:paraId="58DEAD11" w14:textId="77777777">
        <w:trPr>
          <w:tblHeader/>
        </w:trPr>
        <w:tc>
          <w:tcPr>
            <w:tcW w:w="15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18684A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76" w:lineRule="auto"/>
              <w:ind w:left="5" w:right="40" w:hanging="5"/>
              <w:jc w:val="center"/>
              <w:rPr>
                <w:rFonts w:ascii="Liberation Serif" w:eastAsia="Liberation Serif" w:hAnsi="Liberation Serif" w:cs="Liberation Serif"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KWALIFIKACJA ZGŁOSZENIA WADY</w:t>
            </w:r>
          </w:p>
        </w:tc>
        <w:tc>
          <w:tcPr>
            <w:tcW w:w="18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65C9CF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76" w:lineRule="auto"/>
              <w:ind w:left="5" w:right="40" w:hanging="5"/>
              <w:jc w:val="center"/>
              <w:rPr>
                <w:rFonts w:ascii="Liberation Serif" w:eastAsia="Liberation Serif" w:hAnsi="Liberation Serif" w:cs="Liberation Serif"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OKRES DOSTĘPNOŚCI WYKONAWCY</w:t>
            </w:r>
          </w:p>
        </w:tc>
        <w:tc>
          <w:tcPr>
            <w:tcW w:w="19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FBC578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76" w:lineRule="auto"/>
              <w:ind w:left="5" w:right="40" w:hanging="5"/>
              <w:jc w:val="center"/>
              <w:rPr>
                <w:rFonts w:ascii="Liberation Serif" w:eastAsia="Liberation Serif" w:hAnsi="Liberation Serif" w:cs="Liberation Serif"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 xml:space="preserve">ROZWIĄZANIE </w:t>
            </w:r>
            <w:r>
              <w:rPr>
                <w:b/>
                <w:bCs/>
                <w:color w:val="000000"/>
                <w:sz w:val="16"/>
                <w:szCs w:val="16"/>
              </w:rPr>
              <w:br/>
              <w:t>ZASTĘPCZE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D35A13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76" w:lineRule="auto"/>
              <w:ind w:left="5" w:right="40" w:hanging="5"/>
              <w:jc w:val="center"/>
              <w:rPr>
                <w:rFonts w:ascii="Liberation Serif" w:eastAsia="Liberation Serif" w:hAnsi="Liberation Serif" w:cs="Liberation Serif"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CZAS REAKCJI WYKONAWCY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333756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76" w:lineRule="auto"/>
              <w:ind w:left="5" w:right="40" w:hanging="5"/>
              <w:jc w:val="center"/>
              <w:rPr>
                <w:rFonts w:ascii="Liberation Serif" w:eastAsia="Liberation Serif" w:hAnsi="Liberation Serif" w:cs="Liberation Serif"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CZAS NAPRAWY</w:t>
            </w:r>
          </w:p>
        </w:tc>
      </w:tr>
      <w:tr w:rsidR="0012612B" w14:paraId="61D0052E" w14:textId="77777777">
        <w:trPr>
          <w:cantSplit/>
          <w:trHeight w:val="1041"/>
        </w:trPr>
        <w:tc>
          <w:tcPr>
            <w:tcW w:w="15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A2424F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AWARIA</w:t>
            </w:r>
          </w:p>
        </w:tc>
        <w:tc>
          <w:tcPr>
            <w:tcW w:w="18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D6C86E" w14:textId="77777777" w:rsidR="0012612B" w:rsidRDefault="00126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rPr>
                <w:color w:val="000000"/>
                <w:sz w:val="20"/>
                <w:szCs w:val="20"/>
              </w:rPr>
            </w:pPr>
          </w:p>
          <w:p w14:paraId="62D42E5A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Poniedziałek – piątek w godz. </w:t>
            </w:r>
            <w:r>
              <w:rPr>
                <w:sz w:val="18"/>
                <w:szCs w:val="18"/>
              </w:rPr>
              <w:t>8</w:t>
            </w:r>
            <w:r>
              <w:rPr>
                <w:color w:val="000000"/>
                <w:sz w:val="18"/>
                <w:szCs w:val="18"/>
              </w:rPr>
              <w:t>-1</w:t>
            </w:r>
            <w:r>
              <w:rPr>
                <w:sz w:val="18"/>
                <w:szCs w:val="18"/>
              </w:rPr>
              <w:t>6</w:t>
            </w:r>
          </w:p>
          <w:p w14:paraId="01031F6C" w14:textId="77777777" w:rsidR="0012612B" w:rsidRDefault="00126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rPr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D914D9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niezwłocznie, nie później niż </w:t>
            </w:r>
            <w:r>
              <w:rPr>
                <w:sz w:val="20"/>
                <w:szCs w:val="20"/>
              </w:rPr>
              <w:t>48</w:t>
            </w:r>
            <w:r>
              <w:rPr>
                <w:color w:val="000000"/>
                <w:sz w:val="20"/>
                <w:szCs w:val="20"/>
              </w:rPr>
              <w:t xml:space="preserve"> godziny od czasu przyjęcia zgłoszenia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01C5E3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niezwłocznie, nie później niż  </w:t>
            </w:r>
            <w:r>
              <w:rPr>
                <w:sz w:val="20"/>
                <w:szCs w:val="20"/>
              </w:rPr>
              <w:t>8</w:t>
            </w:r>
            <w:r>
              <w:rPr>
                <w:color w:val="000000"/>
                <w:sz w:val="20"/>
                <w:szCs w:val="20"/>
              </w:rPr>
              <w:t xml:space="preserve"> godzin od czasu przyjęcia zgłoszenia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1180FD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niezwłocznie,</w:t>
            </w:r>
          </w:p>
          <w:p w14:paraId="638E368F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nie później niż </w:t>
            </w:r>
            <w:r>
              <w:rPr>
                <w:sz w:val="20"/>
                <w:szCs w:val="20"/>
              </w:rPr>
              <w:t>5</w:t>
            </w:r>
            <w:r>
              <w:rPr>
                <w:color w:val="000000"/>
                <w:sz w:val="20"/>
                <w:szCs w:val="20"/>
              </w:rPr>
              <w:t xml:space="preserve"> dni robocze od czasu zgłoszenia</w:t>
            </w:r>
          </w:p>
        </w:tc>
      </w:tr>
      <w:tr w:rsidR="0012612B" w14:paraId="1EDFFD54" w14:textId="77777777">
        <w:trPr>
          <w:cantSplit/>
          <w:trHeight w:val="1168"/>
        </w:trPr>
        <w:tc>
          <w:tcPr>
            <w:tcW w:w="15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63B1DF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USTERKA</w:t>
            </w:r>
          </w:p>
        </w:tc>
        <w:tc>
          <w:tcPr>
            <w:tcW w:w="18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AB6AA9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Poniedziałek – piątek w godz. 8-1</w:t>
            </w:r>
            <w:r>
              <w:rPr>
                <w:sz w:val="18"/>
                <w:szCs w:val="18"/>
              </w:rPr>
              <w:t>6</w:t>
            </w:r>
          </w:p>
          <w:p w14:paraId="6E27CD81" w14:textId="77777777" w:rsidR="0012612B" w:rsidRDefault="00126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03AE4D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niezwłocznie, nie później niż 3 dni od czasu przyjęcia zgłoszenia</w:t>
            </w:r>
          </w:p>
        </w:tc>
        <w:tc>
          <w:tcPr>
            <w:tcW w:w="21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426AC3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niezwłocznie, nie później niż 24  godziny od czasu przyjęcia zgłoszenia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066373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niezwłocznie, nie</w:t>
            </w:r>
          </w:p>
          <w:p w14:paraId="13221DDA" w14:textId="77777777" w:rsidR="0012612B" w:rsidRDefault="00FF62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13"/>
              </w:tabs>
              <w:spacing w:after="0" w:line="240" w:lineRule="auto"/>
              <w:ind w:left="6" w:right="40" w:hanging="6"/>
              <w:jc w:val="center"/>
              <w:rPr>
                <w:rFonts w:ascii="Liberation Serif" w:eastAsia="Liberation Serif" w:hAnsi="Liberation Serif" w:cs="Liberation Serif"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później niż 10 dni roboczych od czasu zgłoszenia</w:t>
            </w:r>
          </w:p>
        </w:tc>
      </w:tr>
    </w:tbl>
    <w:p w14:paraId="12063DC9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tabs>
          <w:tab w:val="left" w:pos="713"/>
        </w:tabs>
        <w:spacing w:after="0" w:line="276" w:lineRule="auto"/>
        <w:ind w:left="6" w:right="40" w:hanging="6"/>
        <w:rPr>
          <w:b/>
          <w:bCs/>
          <w:color w:val="000000"/>
        </w:rPr>
      </w:pPr>
    </w:p>
    <w:p w14:paraId="147CF953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tabs>
          <w:tab w:val="left" w:pos="713"/>
        </w:tabs>
        <w:spacing w:after="0" w:line="276" w:lineRule="auto"/>
        <w:ind w:left="0" w:right="0"/>
        <w:rPr>
          <w:color w:val="000000"/>
        </w:rPr>
      </w:pPr>
    </w:p>
    <w:p w14:paraId="1975AC90" w14:textId="77777777" w:rsidR="0012612B" w:rsidRDefault="00FF624E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713"/>
          <w:tab w:val="left" w:pos="284"/>
        </w:tabs>
        <w:spacing w:after="0" w:line="276" w:lineRule="auto"/>
        <w:ind w:left="714" w:right="0" w:hanging="357"/>
        <w:rPr>
          <w:rFonts w:ascii="Liberation Serif" w:eastAsia="Liberation Serif" w:hAnsi="Liberation Serif" w:cs="Liberation Serif"/>
          <w:color w:val="000000"/>
          <w:sz w:val="24"/>
          <w:szCs w:val="24"/>
        </w:rPr>
      </w:pPr>
      <w:r>
        <w:rPr>
          <w:color w:val="000000"/>
        </w:rPr>
        <w:t>Dopuszcza się zmianę kwalifikacji zgłoszenia Wady, po uprzedniej zgodzie Zamawiającego. Do czasu potwierdzenia zmiany kwalifikacji, uznaje się za obowiązującą kwalifikację pierwotną.</w:t>
      </w:r>
    </w:p>
    <w:p w14:paraId="5269C7C2" w14:textId="77777777" w:rsidR="0012612B" w:rsidRDefault="00FF624E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713"/>
          <w:tab w:val="left" w:pos="284"/>
        </w:tabs>
        <w:spacing w:after="0" w:line="276" w:lineRule="auto"/>
        <w:ind w:left="714" w:right="0" w:hanging="357"/>
        <w:rPr>
          <w:rFonts w:ascii="Liberation Serif" w:eastAsia="Liberation Serif" w:hAnsi="Liberation Serif" w:cs="Liberation Serif"/>
          <w:color w:val="000000"/>
          <w:sz w:val="24"/>
          <w:szCs w:val="24"/>
        </w:rPr>
      </w:pPr>
      <w:r>
        <w:rPr>
          <w:color w:val="000000"/>
        </w:rPr>
        <w:t>Czasy naprawy mogą być inne niż wskazane w powyższych tabelach, jeżeli Zamawiający zaakceptuje zmianę kwalifikacji zgłoszenia, o której mowa w punkcie 1.</w:t>
      </w:r>
    </w:p>
    <w:p w14:paraId="3F214733" w14:textId="77777777" w:rsidR="0012612B" w:rsidRDefault="00FF624E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713"/>
          <w:tab w:val="left" w:pos="284"/>
        </w:tabs>
        <w:spacing w:after="0" w:line="276" w:lineRule="auto"/>
        <w:ind w:left="714" w:right="0" w:hanging="357"/>
        <w:rPr>
          <w:rFonts w:ascii="Liberation Serif" w:eastAsia="Liberation Serif" w:hAnsi="Liberation Serif" w:cs="Liberation Serif"/>
          <w:color w:val="000000"/>
          <w:sz w:val="24"/>
          <w:szCs w:val="24"/>
        </w:rPr>
      </w:pPr>
      <w:r>
        <w:rPr>
          <w:color w:val="000000"/>
        </w:rPr>
        <w:t>W przypadku braku możliwości usunięcia Wady lub przedstawienia rozwiązania zastępczego zdalnie, Wykonawca zobowiązany jest do świadczenia gwarancji bezpośrednio w lokalizacji Zamawiającego.</w:t>
      </w:r>
    </w:p>
    <w:p w14:paraId="7AB554AD" w14:textId="77777777" w:rsidR="0012612B" w:rsidRDefault="00FF624E">
      <w:pPr>
        <w:widowControl w:val="0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926"/>
          <w:tab w:val="left" w:pos="927"/>
        </w:tabs>
        <w:spacing w:before="180" w:after="0" w:line="240" w:lineRule="auto"/>
        <w:ind w:right="0"/>
      </w:pPr>
      <w:r>
        <w:rPr>
          <w:b/>
          <w:bCs/>
          <w:color w:val="000000"/>
          <w:u w:val="single"/>
        </w:rPr>
        <w:t>Wymagania dotyczące Zadania 1:</w:t>
      </w:r>
      <w:r>
        <w:rPr>
          <w:b/>
          <w:bCs/>
          <w:color w:val="000000"/>
        </w:rPr>
        <w:t xml:space="preserve"> świadczenie usługi wdrożenia 1 szt. systemu monitorowania infrastruktury informatycznej, obejmującej jego instalację, konfigurację oraz integrację w środowisku Zamawiającego zgodnie z poniższymi wymaganiami</w:t>
      </w:r>
      <w:r>
        <w:rPr>
          <w:color w:val="000000"/>
        </w:rPr>
        <w:t>:</w:t>
      </w:r>
    </w:p>
    <w:p w14:paraId="197E794B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before="23" w:after="0" w:line="240" w:lineRule="auto"/>
        <w:ind w:left="1070" w:right="0"/>
      </w:pPr>
      <w:r>
        <w:t>Oprogramowanie napisane i udostępniane na licencji GPL General Public License w wersji 2</w:t>
      </w:r>
    </w:p>
    <w:p w14:paraId="2400033F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before="24" w:after="0" w:line="240" w:lineRule="auto"/>
        <w:ind w:left="1070" w:right="0"/>
      </w:pPr>
      <w:r>
        <w:t>Zbieranie danych:</w:t>
      </w:r>
    </w:p>
    <w:p w14:paraId="2F8948ED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5"/>
        </w:tabs>
        <w:spacing w:before="3" w:after="0" w:line="240" w:lineRule="auto"/>
        <w:ind w:right="117" w:firstLine="0"/>
      </w:pPr>
      <w:r>
        <w:t>Obsługa monitorowania poprzez SNMP (zarówno trapów, jak i zapytań), IPMI, WMI, agentów lokalnych oraz interfejsy API,</w:t>
      </w:r>
    </w:p>
    <w:p w14:paraId="40BF790D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43"/>
        </w:tabs>
        <w:spacing w:after="0" w:line="267" w:lineRule="auto"/>
        <w:ind w:left="1742" w:right="0" w:hanging="224"/>
      </w:pPr>
      <w:r>
        <w:t>Sprawdzanie dostępności i obciążenia serwerów, urządzeń sieciowych, systemów</w:t>
      </w:r>
    </w:p>
    <w:p w14:paraId="0C93B01B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ind w:left="1519"/>
      </w:pPr>
      <w:r>
        <w:t>operacyjnych windows oraz linux</w:t>
      </w:r>
    </w:p>
    <w:p w14:paraId="18D7C11F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1" w:after="0" w:line="240" w:lineRule="auto"/>
        <w:ind w:left="1680" w:right="0" w:hanging="160"/>
      </w:pPr>
      <w:r>
        <w:t>Integracja z systemami wirtualizacji opartych na oprogramowaniu VMware</w:t>
      </w:r>
    </w:p>
    <w:p w14:paraId="2818766A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możliwość zbierania danych w określonych odstępach czasu</w:t>
      </w:r>
    </w:p>
    <w:p w14:paraId="4D83842B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dane mogą być zbierane przez system, proxy lub za pomocą agentów</w:t>
      </w:r>
    </w:p>
    <w:p w14:paraId="49724049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40" w:lineRule="auto"/>
        <w:ind w:left="1070" w:right="0"/>
      </w:pPr>
      <w:r>
        <w:t>Elastyczne definicje progów:</w:t>
      </w:r>
    </w:p>
    <w:p w14:paraId="3F19021E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1" w:after="0" w:line="240" w:lineRule="auto"/>
        <w:ind w:left="1680" w:right="0" w:hanging="160"/>
      </w:pPr>
      <w:r>
        <w:t>możliwość definiowania elastycznych progów problemów, tzw. triggerów</w:t>
      </w:r>
    </w:p>
    <w:p w14:paraId="3D730B52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40" w:lineRule="auto"/>
        <w:ind w:left="1070" w:right="0"/>
      </w:pPr>
      <w:r>
        <w:t>Zaawansowane powiadamianie:</w:t>
      </w:r>
    </w:p>
    <w:p w14:paraId="01861B24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5"/>
        </w:tabs>
        <w:spacing w:after="0" w:line="240" w:lineRule="auto"/>
        <w:ind w:right="14" w:firstLine="0"/>
      </w:pPr>
      <w:r>
        <w:t>wysyłanie powiadomień można dostosować do harmonogramu eskalacji, odbiorców, typu mediów</w:t>
      </w:r>
    </w:p>
    <w:p w14:paraId="10CBD919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67" w:lineRule="auto"/>
        <w:ind w:left="1680" w:right="0" w:hanging="160"/>
      </w:pPr>
      <w:r>
        <w:t>powiadomienia mogą zawierać przydatne informacje dzięki możliwości użycia makr</w:t>
      </w:r>
    </w:p>
    <w:p w14:paraId="77543D37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1" w:after="0" w:line="240" w:lineRule="auto"/>
        <w:ind w:left="1680" w:right="0" w:hanging="160"/>
      </w:pPr>
      <w:r>
        <w:t>działania automatyczne mogą obejmować zdalne komendy</w:t>
      </w:r>
    </w:p>
    <w:p w14:paraId="75BD67F7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ind w:left="1519"/>
      </w:pPr>
      <w:r>
        <w:t>Wykresy w czasie rzeczywistym monitorowane elementy są natychmiast przedstawiane na wykresach dzięki wbudowanej funkcji graficznej</w:t>
      </w:r>
    </w:p>
    <w:p w14:paraId="7E4A766C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40" w:lineRule="auto"/>
        <w:ind w:left="1070" w:right="0"/>
      </w:pPr>
      <w:r>
        <w:lastRenderedPageBreak/>
        <w:t>Możliwość monitorowania stron internetowych:</w:t>
      </w:r>
    </w:p>
    <w:p w14:paraId="09AE0BA4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3"/>
        </w:tabs>
        <w:spacing w:before="1" w:after="0" w:line="240" w:lineRule="auto"/>
        <w:ind w:right="0" w:hanging="164"/>
      </w:pPr>
      <w:r>
        <w:t>narzędzie może symulować kliknięcia myszką na stronie i sprawdzać jej funkcjonalność oraz czas odpowiedzi</w:t>
      </w:r>
    </w:p>
    <w:p w14:paraId="75015689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40" w:lineRule="auto"/>
        <w:ind w:left="1070" w:right="0"/>
      </w:pPr>
      <w:r>
        <w:t>Zapewnia opcje wizualizacji:</w:t>
      </w:r>
    </w:p>
    <w:p w14:paraId="4F61BC4E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możliwość tworzenia własnych wykresów łączących wiele elementów</w:t>
      </w:r>
    </w:p>
    <w:p w14:paraId="7381E3F5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67" w:lineRule="auto"/>
        <w:ind w:left="1680" w:right="0" w:hanging="160"/>
      </w:pPr>
      <w:r>
        <w:t>mapy sieci</w:t>
      </w:r>
    </w:p>
    <w:p w14:paraId="59133639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67" w:lineRule="auto"/>
        <w:ind w:left="1680" w:right="0" w:hanging="160"/>
      </w:pPr>
      <w:r>
        <w:t>pokazy slajdów w formie przeglądu na pulpicie</w:t>
      </w:r>
    </w:p>
    <w:p w14:paraId="51140B3D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1" w:after="0" w:line="240" w:lineRule="auto"/>
        <w:ind w:left="1680" w:right="0" w:hanging="160"/>
      </w:pPr>
      <w:r>
        <w:t>Możliwość budowy własnych dashboardów i raportów</w:t>
      </w:r>
    </w:p>
    <w:p w14:paraId="08FFF788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40" w:lineRule="auto"/>
        <w:ind w:left="1070" w:right="0"/>
      </w:pPr>
      <w:r>
        <w:t>Przechowywanie danych historycznych:</w:t>
      </w:r>
    </w:p>
    <w:p w14:paraId="5EC7E41C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dane przechowywane w bazie danych</w:t>
      </w:r>
    </w:p>
    <w:p w14:paraId="3586FFDB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1" w:after="0" w:line="240" w:lineRule="auto"/>
        <w:ind w:left="1680" w:right="0" w:hanging="160"/>
      </w:pPr>
      <w:r>
        <w:t>konfigurowalna historia</w:t>
      </w:r>
    </w:p>
    <w:p w14:paraId="17124DCD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wbudowana procedura czyszczenia starych danych</w:t>
      </w:r>
    </w:p>
    <w:p w14:paraId="343F71C3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40" w:lineRule="auto"/>
        <w:ind w:left="1070" w:right="0"/>
      </w:pPr>
      <w:r>
        <w:t>Prosta konfiguracja:</w:t>
      </w:r>
    </w:p>
    <w:p w14:paraId="00FC19D7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8"/>
        </w:tabs>
        <w:spacing w:before="1" w:after="0" w:line="240" w:lineRule="auto"/>
        <w:ind w:left="1677" w:right="0" w:hanging="160"/>
      </w:pPr>
      <w:r>
        <w:t>dodawanie monitorowanych urządzeń jako hostów</w:t>
      </w:r>
    </w:p>
    <w:p w14:paraId="6277F1F8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8"/>
        </w:tabs>
        <w:spacing w:after="0" w:line="267" w:lineRule="auto"/>
        <w:ind w:left="1677" w:right="0" w:hanging="160"/>
      </w:pPr>
      <w:r>
        <w:t>hosty są monitorowane po dodaniu do bazy danych</w:t>
      </w:r>
    </w:p>
    <w:p w14:paraId="2E8A9F06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8"/>
        </w:tabs>
        <w:spacing w:after="0" w:line="267" w:lineRule="auto"/>
        <w:ind w:left="1677" w:right="0" w:hanging="160"/>
      </w:pPr>
      <w:r>
        <w:t>możliwość stosowania szablonów dla różnych rodzajów urządzeń</w:t>
      </w:r>
    </w:p>
    <w:p w14:paraId="170365A6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40" w:lineRule="auto"/>
        <w:ind w:left="1070" w:right="0"/>
      </w:pPr>
      <w:r>
        <w:t>Odkrywanie sieci:</w:t>
      </w:r>
    </w:p>
    <w:p w14:paraId="785F5B2E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automatyczne wykrywanie urządzeń w sieci</w:t>
      </w:r>
    </w:p>
    <w:p w14:paraId="7D39F7A8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1" w:after="0" w:line="240" w:lineRule="auto"/>
        <w:ind w:left="1680" w:right="0" w:hanging="160"/>
      </w:pPr>
      <w:r>
        <w:t>wykrywanie systemów plików, interfejsów sieciowych i identyfikatorów SNMP</w:t>
      </w:r>
    </w:p>
    <w:p w14:paraId="33DEE34A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40" w:lineRule="auto"/>
        <w:ind w:left="1070" w:right="0"/>
      </w:pPr>
      <w:r>
        <w:t>System uprawnień:</w:t>
      </w:r>
    </w:p>
    <w:p w14:paraId="08C26015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Wsparcie dla integracji z systemami uwierzytelniania (np. LDAP, SSO)</w:t>
      </w:r>
    </w:p>
    <w:p w14:paraId="23ECC312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możliwość ograniczenia widoczności danych dla wybranych użytkowników</w:t>
      </w:r>
    </w:p>
    <w:p w14:paraId="4D046148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before="1" w:after="0" w:line="240" w:lineRule="auto"/>
        <w:ind w:left="1070" w:right="0"/>
      </w:pPr>
      <w:r>
        <w:t>Agent z pełnym zakresem funkcji:</w:t>
      </w:r>
    </w:p>
    <w:p w14:paraId="3C14D588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wdrażany na monitorowanych urządzeniach z automatyczną rejestracją</w:t>
      </w:r>
    </w:p>
    <w:p w14:paraId="06509C19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1" w:after="0" w:line="267" w:lineRule="auto"/>
        <w:ind w:left="1680" w:right="0" w:hanging="160"/>
      </w:pPr>
      <w:r>
        <w:t>dostępny zarówno dla systemów Linux i Windows</w:t>
      </w:r>
    </w:p>
    <w:p w14:paraId="5D812ED1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67" w:lineRule="auto"/>
        <w:ind w:left="1070" w:right="0"/>
      </w:pPr>
      <w:r>
        <w:t>System powinien być wdrożony w aktualnej stabilnej wersji,</w:t>
      </w:r>
    </w:p>
    <w:p w14:paraId="3FEDE98F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40"/>
        </w:tabs>
        <w:spacing w:after="0" w:line="240" w:lineRule="auto"/>
        <w:ind w:left="1039" w:right="0" w:hanging="119"/>
      </w:pPr>
      <w:r>
        <w:t>Całe rozwiązanie musi być oparte na komponentach open source</w:t>
      </w:r>
    </w:p>
    <w:p w14:paraId="2525E06D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sz w:val="28"/>
          <w:szCs w:val="28"/>
        </w:rPr>
      </w:pPr>
    </w:p>
    <w:p w14:paraId="391F8865" w14:textId="77777777" w:rsidR="0012612B" w:rsidRDefault="00FF624E">
      <w:pPr>
        <w:pStyle w:val="Nagwek1"/>
        <w:spacing w:before="1"/>
        <w:ind w:left="709" w:firstLine="0"/>
        <w:jc w:val="both"/>
      </w:pPr>
      <w:r>
        <w:t>Zakres usługi wdrożeniowej (szt.1) obejmuje:</w:t>
      </w:r>
    </w:p>
    <w:p w14:paraId="09C05985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before="38" w:after="0" w:line="240" w:lineRule="auto"/>
        <w:ind w:left="1070" w:right="0"/>
      </w:pPr>
      <w:r>
        <w:t>Instalacja i konfiguracja systemu</w:t>
      </w:r>
    </w:p>
    <w:p w14:paraId="3336FA17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829"/>
        </w:tabs>
        <w:spacing w:after="0" w:line="240" w:lineRule="auto"/>
        <w:ind w:right="14" w:firstLine="0"/>
      </w:pPr>
      <w:r>
        <w:t xml:space="preserve">Instalacja systemu monitorowania oraz jego komponentów w środowisku Zamawiającego jako wirtualna maszyna na środowisku vmware (serwer monitorujący, interfejs webowy, baza danych) lub jako docker kontener. </w:t>
      </w:r>
    </w:p>
    <w:p w14:paraId="5F2515BA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46"/>
        </w:tabs>
        <w:spacing w:before="1" w:after="0" w:line="240" w:lineRule="auto"/>
        <w:ind w:right="14" w:firstLine="0"/>
      </w:pPr>
      <w:r>
        <w:t>Instalacja agentów na systemach operacyjnych Zamawiającego wspierających ich monitorowanie. Ilość serwerów: 2 systemy Windows Server, 3 serwery oparte o system operacyjny linux</w:t>
      </w:r>
    </w:p>
    <w:p w14:paraId="2CBF6474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2" w:after="0" w:line="240" w:lineRule="auto"/>
        <w:ind w:left="1680" w:right="0" w:hanging="160"/>
      </w:pPr>
      <w:r>
        <w:t>Konfiguracja bezpiecznego dostępu do interfejsu zarządzania systemem,</w:t>
      </w:r>
    </w:p>
    <w:p w14:paraId="457D6E7D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67" w:lineRule="auto"/>
        <w:ind w:left="1070" w:right="0"/>
      </w:pPr>
      <w:r>
        <w:t>Monitorowanie infrastruktury IT</w:t>
      </w:r>
    </w:p>
    <w:p w14:paraId="78047BA9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spacing w:line="267" w:lineRule="auto"/>
        <w:ind w:left="1094"/>
      </w:pPr>
      <w:r>
        <w:t>Wdrożenie monitorowania dla następujących komponentów:</w:t>
      </w:r>
    </w:p>
    <w:p w14:paraId="5F0902D2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5"/>
        </w:tabs>
        <w:spacing w:after="0" w:line="240" w:lineRule="auto"/>
        <w:ind w:right="0"/>
      </w:pPr>
      <w:r>
        <w:t>Środowisko wirtualizacji VMware vSphere / ESXi składające się z 3 hostów ESXi oraz vcenter skonfigurowanych w klaster HA</w:t>
      </w:r>
    </w:p>
    <w:p w14:paraId="77BE1903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spacing w:before="1"/>
        <w:ind w:left="1519"/>
      </w:pPr>
      <w:r>
        <w:t>Monitorowanie hostów, maszyn wirtualnych, zasobów (CPU, RAM, przestrzeń dyskowa)</w:t>
      </w:r>
    </w:p>
    <w:p w14:paraId="52D2896A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Przełączniki Sieciowe sztuk 6:</w:t>
      </w:r>
    </w:p>
    <w:p w14:paraId="71EE9520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ind w:left="1519"/>
      </w:pPr>
      <w:r>
        <w:t>Monitorowanie za pomocą SNMP,</w:t>
      </w:r>
    </w:p>
    <w:p w14:paraId="68DBE2DC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ind w:left="1519"/>
      </w:pPr>
      <w:r>
        <w:t>Zbieranie danych o stanie portów, błędach interfejsów, przepustowości.</w:t>
      </w:r>
    </w:p>
    <w:p w14:paraId="569B0409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1" w:after="0" w:line="240" w:lineRule="auto"/>
        <w:ind w:left="1680" w:right="0" w:hanging="160"/>
      </w:pPr>
      <w:r>
        <w:t>Serwery Windows i Linux sztuk 5:</w:t>
      </w:r>
    </w:p>
    <w:p w14:paraId="13F6BF9D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ind w:left="1519"/>
      </w:pPr>
      <w:r>
        <w:t>Monitorowanie obciążenia CPU, wykorzystania RAM, zajętości dysków,</w:t>
      </w:r>
    </w:p>
    <w:p w14:paraId="7C21A48D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spacing w:line="267" w:lineRule="auto"/>
        <w:ind w:left="1519"/>
      </w:pPr>
      <w:r>
        <w:lastRenderedPageBreak/>
        <w:t>Sprawdzanie dostępności usług (np. RDP, SSH, HTTP, HTTPS, PostgresSQL, MSSQL).</w:t>
      </w:r>
    </w:p>
    <w:p w14:paraId="31B2B01B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67" w:lineRule="auto"/>
        <w:ind w:left="1680" w:right="0" w:hanging="160"/>
      </w:pPr>
      <w:r>
        <w:t>Urządzenia Next Generation Firewall sztuk 2:</w:t>
      </w:r>
    </w:p>
    <w:p w14:paraId="2F1AD174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spacing w:before="1"/>
        <w:ind w:left="1519"/>
      </w:pPr>
      <w:r>
        <w:t>Monitorowanie za pomocą SNMP,</w:t>
      </w:r>
    </w:p>
    <w:p w14:paraId="32E21A38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ind w:left="1519"/>
      </w:pPr>
      <w:r>
        <w:t>Zbieranie informacji o przepustowości interfejsów, liczbie sesji, obciążeniu CPU.</w:t>
      </w:r>
    </w:p>
    <w:p w14:paraId="2714B056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Urządzenia NAS sztuk 4:</w:t>
      </w:r>
    </w:p>
    <w:p w14:paraId="5FBD8C7C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ind w:left="1519"/>
      </w:pPr>
      <w:r>
        <w:t>Monitorowanie obciążenia CPU, wykorzystania RAM, zajętości dysków,</w:t>
      </w:r>
    </w:p>
    <w:p w14:paraId="05C36890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ind w:left="1519"/>
      </w:pPr>
      <w:r>
        <w:t>Konfiguracja zbierania trap'ów SNMP wysyłanych przez urządzenia Zamawiającego.</w:t>
      </w:r>
    </w:p>
    <w:p w14:paraId="348F04ED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40" w:lineRule="auto"/>
        <w:ind w:left="1070" w:right="0"/>
      </w:pPr>
      <w:r>
        <w:t>Konfiguracja alarmów i powiadomień</w:t>
      </w:r>
    </w:p>
    <w:p w14:paraId="6DBCBCCE" w14:textId="77777777" w:rsidR="0012612B" w:rsidRDefault="00FF624E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Definicja progów alarmowych dla wybranych parametrów:</w:t>
      </w:r>
    </w:p>
    <w:p w14:paraId="7CA41A53" w14:textId="77777777" w:rsidR="0012612B" w:rsidRDefault="00FF624E">
      <w:pPr>
        <w:widowControl w:val="0"/>
        <w:numPr>
          <w:ilvl w:val="2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79"/>
        </w:tabs>
        <w:spacing w:after="0" w:line="240" w:lineRule="auto"/>
        <w:ind w:right="0"/>
      </w:pPr>
      <w:r>
        <w:t>Zbyt duża zajętość dysków (&gt;90%),</w:t>
      </w:r>
    </w:p>
    <w:p w14:paraId="3E92ED25" w14:textId="77777777" w:rsidR="0012612B" w:rsidRDefault="00FF624E">
      <w:pPr>
        <w:widowControl w:val="0"/>
        <w:numPr>
          <w:ilvl w:val="2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79"/>
        </w:tabs>
        <w:spacing w:before="1" w:after="0" w:line="240" w:lineRule="auto"/>
        <w:ind w:right="0"/>
      </w:pPr>
      <w:r>
        <w:t>Przeciążenie CPU lub RAM (&gt;80%),</w:t>
      </w:r>
    </w:p>
    <w:p w14:paraId="25A07C2F" w14:textId="77777777" w:rsidR="0012612B" w:rsidRDefault="00FF624E">
      <w:pPr>
        <w:widowControl w:val="0"/>
        <w:numPr>
          <w:ilvl w:val="2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79"/>
        </w:tabs>
        <w:spacing w:after="0" w:line="240" w:lineRule="auto"/>
        <w:ind w:right="0"/>
      </w:pPr>
      <w:r>
        <w:t>Niedostępność kluczowych systemów lub usług,</w:t>
      </w:r>
    </w:p>
    <w:p w14:paraId="18C8E574" w14:textId="77777777" w:rsidR="0012612B" w:rsidRDefault="00FF624E">
      <w:pPr>
        <w:widowControl w:val="0"/>
        <w:numPr>
          <w:ilvl w:val="2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79"/>
        </w:tabs>
        <w:spacing w:after="0" w:line="240" w:lineRule="auto"/>
        <w:ind w:right="0"/>
      </w:pPr>
      <w:r>
        <w:t>Wysokie wysycenie interfejsów sieciowych (&gt;85%).</w:t>
      </w:r>
    </w:p>
    <w:p w14:paraId="6E174677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19"/>
        </w:tabs>
        <w:spacing w:before="2" w:after="0" w:line="237" w:lineRule="auto"/>
        <w:ind w:right="0" w:hanging="142"/>
      </w:pPr>
      <w:r>
        <w:t>Skonfigurowane automatyczne powiadomienia e-mail wysyłane do wskazanych administratorów.</w:t>
      </w:r>
    </w:p>
    <w:p w14:paraId="0DF72D55" w14:textId="77777777" w:rsidR="0012612B" w:rsidRDefault="00FF624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before="2" w:after="0" w:line="240" w:lineRule="auto"/>
        <w:ind w:left="1070" w:right="0"/>
      </w:pPr>
      <w:r>
        <w:t>Dokumentacja - Dostarczenie dokumentacji powdrożeniowej, zawierającej:</w:t>
      </w:r>
    </w:p>
    <w:p w14:paraId="5E92D125" w14:textId="77777777" w:rsidR="0012612B" w:rsidRDefault="00FF624E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662"/>
        </w:tabs>
        <w:spacing w:before="24" w:after="0" w:line="240" w:lineRule="auto"/>
        <w:ind w:right="0" w:hanging="143"/>
      </w:pPr>
      <w:r>
        <w:t>Opis konfiguracji systemu,</w:t>
      </w:r>
    </w:p>
    <w:p w14:paraId="416E6C48" w14:textId="77777777" w:rsidR="0012612B" w:rsidRDefault="00FF624E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662"/>
        </w:tabs>
        <w:spacing w:before="27" w:after="0" w:line="240" w:lineRule="auto"/>
        <w:ind w:right="0" w:hanging="143"/>
      </w:pPr>
      <w:r>
        <w:t>Listę monitorowanych zasobów,</w:t>
      </w:r>
    </w:p>
    <w:p w14:paraId="443CD8F4" w14:textId="77777777" w:rsidR="0012612B" w:rsidRDefault="00FF624E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662"/>
        </w:tabs>
        <w:spacing w:before="25" w:after="0" w:line="240" w:lineRule="auto"/>
        <w:ind w:right="0" w:hanging="143"/>
      </w:pPr>
      <w:r>
        <w:t>Listę reguł alarmowych.</w:t>
      </w:r>
    </w:p>
    <w:p w14:paraId="6D5BD776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sz w:val="25"/>
          <w:szCs w:val="25"/>
        </w:rPr>
      </w:pPr>
    </w:p>
    <w:p w14:paraId="7765CD5D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bCs/>
        </w:rPr>
      </w:pPr>
      <w:r>
        <w:rPr>
          <w:b/>
          <w:bCs/>
        </w:rPr>
        <w:t xml:space="preserve">Wykonawca jest zobowiązany wykonać zamówienie nie później niż w terminie: </w:t>
      </w:r>
      <w:r>
        <w:rPr>
          <w:b/>
          <w:bCs/>
          <w:u w:val="single"/>
        </w:rPr>
        <w:t>60 dni</w:t>
      </w:r>
      <w:r>
        <w:rPr>
          <w:b/>
          <w:bCs/>
        </w:rPr>
        <w:t xml:space="preserve"> kalendarzowych od dnia zawarcia umowy.</w:t>
      </w:r>
    </w:p>
    <w:p w14:paraId="17846099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sz w:val="25"/>
          <w:szCs w:val="25"/>
        </w:rPr>
      </w:pPr>
    </w:p>
    <w:p w14:paraId="4C7A9224" w14:textId="77777777" w:rsidR="0012612B" w:rsidRDefault="00FF624E">
      <w:pPr>
        <w:pStyle w:val="Nagwek1"/>
        <w:numPr>
          <w:ilvl w:val="0"/>
          <w:numId w:val="14"/>
        </w:numPr>
        <w:tabs>
          <w:tab w:val="left" w:pos="926"/>
          <w:tab w:val="left" w:pos="927"/>
        </w:tabs>
        <w:spacing w:line="276" w:lineRule="auto"/>
        <w:jc w:val="both"/>
      </w:pPr>
      <w:r>
        <w:rPr>
          <w:u w:val="single"/>
        </w:rPr>
        <w:t>Wymagania dotyczące Zadania 2:</w:t>
      </w:r>
      <w:r>
        <w:t xml:space="preserve"> świadczenie usługi wdrożenia systemu kontroli dostępu do sieci (Network Access Control), obejmującej jego instalację, konfigurację, integrację oraz uruchomienie w środowisku Zamawiającego.</w:t>
      </w:r>
    </w:p>
    <w:p w14:paraId="154550A3" w14:textId="77777777" w:rsidR="0012612B" w:rsidRDefault="00FF624E">
      <w:pPr>
        <w:ind w:left="953" w:right="0"/>
        <w:rPr>
          <w:b/>
          <w:bCs/>
        </w:rPr>
      </w:pPr>
      <w:r>
        <w:rPr>
          <w:b/>
          <w:bCs/>
        </w:rPr>
        <w:t>System kontroli dostępu do sieci – szt.1</w:t>
      </w:r>
    </w:p>
    <w:p w14:paraId="1F3343BA" w14:textId="77777777" w:rsidR="0012612B" w:rsidRDefault="00FF624E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738"/>
        </w:tabs>
        <w:spacing w:before="65" w:after="0" w:line="240" w:lineRule="auto"/>
        <w:ind w:right="0"/>
      </w:pPr>
      <w:r>
        <w:t>Oprogramowanie napisane i udostępniane na licencji GPL General Public License</w:t>
      </w:r>
    </w:p>
    <w:p w14:paraId="0CB9E721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spacing w:before="41"/>
        <w:ind w:left="1661" w:right="0"/>
      </w:pPr>
      <w:r>
        <w:t>w wersji 2</w:t>
      </w:r>
    </w:p>
    <w:p w14:paraId="52E48513" w14:textId="77777777" w:rsidR="0012612B" w:rsidRDefault="00FF624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before="41"/>
        <w:ind w:left="1701" w:right="0" w:hanging="140"/>
      </w:pPr>
      <w:r>
        <w:rPr>
          <w:color w:val="000000"/>
        </w:rPr>
        <w:t>Dynamiczną kontrolę dostępu użytkowników i urządzeń do sieci przewodowej i bezprzewodowej,</w:t>
      </w:r>
    </w:p>
    <w:p w14:paraId="23D20A90" w14:textId="77777777" w:rsidR="0012612B" w:rsidRDefault="00FF624E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63" w:after="0" w:line="240" w:lineRule="auto"/>
        <w:ind w:left="1680" w:right="0" w:hanging="160"/>
      </w:pPr>
      <w:r>
        <w:t>Obsługę uwierzytelniania 802.1X oraz portal rejestracyjny (captive portal),</w:t>
      </w:r>
    </w:p>
    <w:p w14:paraId="4BEBF5ED" w14:textId="77777777" w:rsidR="0012612B" w:rsidRDefault="00FF624E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65" w:after="0" w:line="240" w:lineRule="auto"/>
        <w:ind w:left="1680" w:right="0" w:hanging="160"/>
      </w:pPr>
      <w:r>
        <w:t>Obsługę VLANów dynamicznych w oparciu o polityki,</w:t>
      </w:r>
    </w:p>
    <w:p w14:paraId="3646671B" w14:textId="77777777" w:rsidR="0012612B" w:rsidRDefault="00FF624E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65" w:after="0" w:line="240" w:lineRule="auto"/>
        <w:ind w:left="1680" w:right="0" w:hanging="160"/>
      </w:pPr>
      <w:r>
        <w:t>Integrację z przełącznikami sieciowymi i kontrolerami Wi-Fi (np. Aruba),</w:t>
      </w:r>
    </w:p>
    <w:p w14:paraId="45EE40C3" w14:textId="77777777" w:rsidR="0012612B" w:rsidRDefault="00FF624E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67" w:after="0" w:line="240" w:lineRule="auto"/>
        <w:ind w:left="1680" w:right="0" w:hanging="160"/>
      </w:pPr>
      <w:r>
        <w:t>Integrację z serwerami katalogowymi (np. LDAP, Active Directory),</w:t>
      </w:r>
    </w:p>
    <w:p w14:paraId="60375D64" w14:textId="77777777" w:rsidR="0012612B" w:rsidRDefault="00FF624E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65" w:after="0" w:line="240" w:lineRule="auto"/>
        <w:ind w:left="1680" w:right="0" w:hanging="160"/>
      </w:pPr>
      <w:r>
        <w:t>Tworzenie polityk dostępu opartych o rolę, typ urządzenia, lokalizację lub godzinę,</w:t>
      </w:r>
    </w:p>
    <w:p w14:paraId="4706BC64" w14:textId="77777777" w:rsidR="0012612B" w:rsidRDefault="00FF624E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65" w:after="0" w:line="240" w:lineRule="auto"/>
        <w:ind w:left="1680" w:right="0" w:hanging="160"/>
      </w:pPr>
      <w:r>
        <w:t>Obsługę rejestracji urządzeń gości (guest access) oraz BYOD,</w:t>
      </w:r>
    </w:p>
    <w:p w14:paraId="687613DB" w14:textId="77777777" w:rsidR="0012612B" w:rsidRDefault="00FF624E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66" w:after="0" w:line="240" w:lineRule="auto"/>
        <w:ind w:left="1680" w:right="0" w:hanging="160"/>
      </w:pPr>
      <w:r>
        <w:t>Zdolność izolacji zagrożonych urządzeń (quarantine VLAN),</w:t>
      </w:r>
    </w:p>
    <w:p w14:paraId="14E495FF" w14:textId="77777777" w:rsidR="0012612B" w:rsidRDefault="00FF624E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65" w:after="0" w:line="240" w:lineRule="auto"/>
        <w:ind w:left="1680" w:right="0" w:hanging="160"/>
      </w:pPr>
      <w:r>
        <w:t>Mechanizmy wykrywania i rejestrowania nieautoryzowanych urządzeń,</w:t>
      </w:r>
    </w:p>
    <w:p w14:paraId="205B1E85" w14:textId="77777777" w:rsidR="0012612B" w:rsidRDefault="00FF624E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690"/>
        </w:tabs>
        <w:spacing w:before="41" w:after="0" w:line="240" w:lineRule="auto"/>
        <w:ind w:left="1661" w:right="0" w:hanging="170"/>
      </w:pPr>
      <w:r>
        <w:t>Interfejs zarządzania przez przeglądarkę WWW oraz możliwość integracji z systemami SIEM.</w:t>
      </w:r>
    </w:p>
    <w:p w14:paraId="62AEA7B6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spacing w:before="9"/>
        <w:ind w:right="0"/>
        <w:rPr>
          <w:sz w:val="28"/>
          <w:szCs w:val="28"/>
        </w:rPr>
      </w:pPr>
    </w:p>
    <w:p w14:paraId="6164D153" w14:textId="77777777" w:rsidR="0012612B" w:rsidRDefault="00FF624E">
      <w:pPr>
        <w:pStyle w:val="Nagwek1"/>
        <w:ind w:left="709"/>
        <w:jc w:val="both"/>
      </w:pPr>
      <w:r>
        <w:t>Zakres usługi wdrożeniowej – szt.1:</w:t>
      </w:r>
    </w:p>
    <w:p w14:paraId="73BF3FAE" w14:textId="77777777" w:rsidR="0012612B" w:rsidRDefault="00FF624E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before="39" w:after="0" w:line="240" w:lineRule="auto"/>
        <w:ind w:right="0" w:hanging="117"/>
      </w:pPr>
      <w:r>
        <w:t>Instalacja i konfiguracja systemu:</w:t>
      </w:r>
    </w:p>
    <w:p w14:paraId="0AFAF0F2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724"/>
        </w:tabs>
        <w:spacing w:before="41" w:after="0" w:line="276" w:lineRule="auto"/>
        <w:ind w:right="0" w:hanging="140"/>
      </w:pPr>
      <w:r>
        <w:lastRenderedPageBreak/>
        <w:t>Instalacja systemu Network Access Control oraz jego komponentów w środowisku Zamawiającego jako wirtualna maszyna na środowisku vmware (serwer dostępowy, baza danych, interfejs zarządzania),</w:t>
      </w:r>
    </w:p>
    <w:p w14:paraId="57FA3BC5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after="0" w:line="240" w:lineRule="auto"/>
        <w:ind w:left="1680" w:right="0" w:hanging="160"/>
      </w:pPr>
      <w:r>
        <w:t>Konfiguracja integracji z przełącznikami sieciowymi sztuk 6,</w:t>
      </w:r>
    </w:p>
    <w:p w14:paraId="35D3D5D3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41" w:after="0" w:line="240" w:lineRule="auto"/>
        <w:ind w:left="1680" w:right="0" w:hanging="160"/>
      </w:pPr>
      <w:r>
        <w:t>Integracja z systemami uwierzytelniania (LDAP, AD),</w:t>
      </w:r>
    </w:p>
    <w:p w14:paraId="1ABED0A7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39" w:after="0" w:line="240" w:lineRule="auto"/>
        <w:ind w:left="1680" w:right="0" w:hanging="160"/>
      </w:pPr>
      <w:r>
        <w:t>Konfiguracja portalu rejestracyjnego oraz metod uwierzytelniania użytkowników.</w:t>
      </w:r>
    </w:p>
    <w:p w14:paraId="255757B5" w14:textId="77777777" w:rsidR="0012612B" w:rsidRDefault="00FF624E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before="41" w:after="0" w:line="240" w:lineRule="auto"/>
        <w:ind w:right="0" w:hanging="117"/>
      </w:pPr>
      <w:r>
        <w:t>Konfiguracja polityk dostępu dla:</w:t>
      </w:r>
    </w:p>
    <w:p w14:paraId="22CC87B5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41" w:after="0" w:line="240" w:lineRule="auto"/>
        <w:ind w:left="1680" w:right="0" w:hanging="160"/>
      </w:pPr>
      <w:r>
        <w:t>Użytkowników (z autoryzacją AD) - 25 osób,</w:t>
      </w:r>
    </w:p>
    <w:p w14:paraId="1B7EF323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39" w:after="0" w:line="240" w:lineRule="auto"/>
        <w:ind w:left="1680" w:right="0" w:hanging="160"/>
      </w:pPr>
      <w:r>
        <w:t>Urządzeń w oparciu o protokół 802.1x - 40 sztuk,</w:t>
      </w:r>
    </w:p>
    <w:p w14:paraId="70424B05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29" w:after="0" w:line="240" w:lineRule="auto"/>
        <w:ind w:left="1680" w:right="0" w:hanging="160"/>
      </w:pPr>
      <w:r>
        <w:t>Gości (czasowe loginy z kodem SMS lub e-mail),</w:t>
      </w:r>
    </w:p>
    <w:p w14:paraId="3A44FFB2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29" w:after="0" w:line="240" w:lineRule="auto"/>
        <w:ind w:left="1680" w:right="0" w:hanging="160"/>
      </w:pPr>
      <w:r>
        <w:t>Urządzeń niezarządzanych (np. drukarki, kamery) sztuk 10,</w:t>
      </w:r>
    </w:p>
    <w:p w14:paraId="04121354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736"/>
        </w:tabs>
        <w:spacing w:before="41" w:after="0" w:line="276" w:lineRule="auto"/>
        <w:ind w:right="0" w:hanging="140"/>
      </w:pPr>
      <w:r>
        <w:t>Konfiguracja przypisania VLANów i polityk w zależności od typu użytkownika lub urządzenia.</w:t>
      </w:r>
    </w:p>
    <w:p w14:paraId="447C31D1" w14:textId="77777777" w:rsidR="0012612B" w:rsidRDefault="00FF624E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after="0" w:line="268" w:lineRule="auto"/>
        <w:ind w:right="0" w:hanging="117"/>
      </w:pPr>
      <w:r>
        <w:t>Monitorowanie i raportowanie</w:t>
      </w:r>
    </w:p>
    <w:p w14:paraId="6B8FF085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41" w:after="0" w:line="240" w:lineRule="auto"/>
        <w:ind w:left="1680" w:right="0" w:hanging="160"/>
      </w:pPr>
      <w:r>
        <w:t>Wdrożenie logowania zdarzeń,</w:t>
      </w:r>
    </w:p>
    <w:p w14:paraId="0C0B171B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41" w:after="0" w:line="240" w:lineRule="auto"/>
        <w:ind w:left="1680" w:right="0" w:hanging="160"/>
      </w:pPr>
      <w:r>
        <w:t>Konfiguracja widoczności podłączonych urządzeń oraz historii dostępu,</w:t>
      </w:r>
    </w:p>
    <w:p w14:paraId="208212CB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38" w:after="0" w:line="240" w:lineRule="auto"/>
        <w:ind w:left="1680" w:right="0" w:hanging="160"/>
      </w:pPr>
      <w:r>
        <w:t>Konfiguracja przesyłania logów do systemu zbierającego logi.</w:t>
      </w:r>
    </w:p>
    <w:p w14:paraId="3917C120" w14:textId="77777777" w:rsidR="0012612B" w:rsidRDefault="00FF624E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before="41" w:after="0" w:line="240" w:lineRule="auto"/>
        <w:ind w:right="0" w:hanging="117"/>
      </w:pPr>
      <w:r>
        <w:t>Dokumentacja - Dostarczenie dokumentacji technicznej zawierającej:</w:t>
      </w:r>
    </w:p>
    <w:p w14:paraId="5F58B81F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41" w:after="0" w:line="240" w:lineRule="auto"/>
        <w:ind w:left="1680" w:right="0" w:hanging="160"/>
      </w:pPr>
      <w:r>
        <w:t>Opis konfiguracji,</w:t>
      </w:r>
    </w:p>
    <w:p w14:paraId="699C72BF" w14:textId="77777777" w:rsidR="0012612B" w:rsidRDefault="00FF624E">
      <w:pPr>
        <w:widowControl w:val="0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39" w:after="0" w:line="240" w:lineRule="auto"/>
        <w:ind w:left="1680" w:right="0" w:hanging="160"/>
      </w:pPr>
      <w:r>
        <w:t>Listę urządzeń objętych kontrolą i przypisane im polityki.</w:t>
      </w:r>
    </w:p>
    <w:p w14:paraId="31EB0266" w14:textId="77777777" w:rsidR="0012612B" w:rsidRDefault="00FF624E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before="42" w:after="0" w:line="240" w:lineRule="auto"/>
        <w:ind w:right="0" w:hanging="117"/>
        <w:rPr>
          <w:b/>
          <w:bCs/>
        </w:rPr>
      </w:pPr>
      <w:r>
        <w:rPr>
          <w:b/>
          <w:bCs/>
          <w:u w:val="single"/>
        </w:rPr>
        <w:t>Wymagania dodatkowe</w:t>
      </w:r>
    </w:p>
    <w:p w14:paraId="1FC7C3F2" w14:textId="77777777" w:rsidR="0012612B" w:rsidRDefault="00FF624E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41" w:after="0" w:line="240" w:lineRule="auto"/>
        <w:ind w:right="0" w:hanging="160"/>
      </w:pPr>
      <w:r>
        <w:t>System powinien być wdrożony w aktualnej stabilnej wersji,</w:t>
      </w:r>
    </w:p>
    <w:p w14:paraId="4DB4D9EE" w14:textId="77777777" w:rsidR="0012612B" w:rsidRDefault="00FF624E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681"/>
        </w:tabs>
        <w:spacing w:before="41" w:after="0" w:line="240" w:lineRule="auto"/>
        <w:ind w:right="0" w:hanging="160"/>
      </w:pPr>
      <w:r>
        <w:t>Całe rozwiązanie musi być oparte na komponentach open source</w:t>
      </w:r>
    </w:p>
    <w:p w14:paraId="2E195016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spacing w:before="3"/>
        <w:ind w:right="0"/>
        <w:rPr>
          <w:sz w:val="18"/>
          <w:szCs w:val="18"/>
        </w:rPr>
      </w:pPr>
    </w:p>
    <w:p w14:paraId="1C22208E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spacing w:before="1" w:line="242" w:lineRule="auto"/>
        <w:ind w:right="0"/>
        <w:rPr>
          <w:b/>
          <w:bCs/>
        </w:rPr>
      </w:pPr>
      <w:r>
        <w:rPr>
          <w:b/>
          <w:bCs/>
        </w:rPr>
        <w:t xml:space="preserve">Wykonawca jest zobowiązany wykonać zamówienie nie później niż w terminie: </w:t>
      </w:r>
      <w:r>
        <w:rPr>
          <w:b/>
          <w:bCs/>
          <w:u w:val="single"/>
        </w:rPr>
        <w:t>60 dni</w:t>
      </w:r>
      <w:r>
        <w:rPr>
          <w:b/>
          <w:bCs/>
        </w:rPr>
        <w:t xml:space="preserve"> kalendarzowych od dnia zawarcia umowy.</w:t>
      </w:r>
    </w:p>
    <w:p w14:paraId="6447A2C7" w14:textId="77777777" w:rsidR="0012612B" w:rsidRDefault="00FF624E">
      <w:pPr>
        <w:pStyle w:val="Nagwek1"/>
        <w:numPr>
          <w:ilvl w:val="0"/>
          <w:numId w:val="14"/>
        </w:numPr>
        <w:tabs>
          <w:tab w:val="left" w:pos="924"/>
          <w:tab w:val="left" w:pos="925"/>
        </w:tabs>
        <w:spacing w:before="175"/>
        <w:jc w:val="both"/>
      </w:pPr>
      <w:r>
        <w:rPr>
          <w:u w:val="single"/>
        </w:rPr>
        <w:t>Wymagania dotyczące Zadania 3</w:t>
      </w:r>
      <w:r>
        <w:t xml:space="preserve"> świadczenie usługi obejmującej: montaż oraz konfigurację nowych komponentów infrastruktury serwerowej, montaż oraz konfigurację nowych komponentów przechowywania danych w oparciu o rozwiązanie NAS, montaż oraz konfigurację nowych komponentów infrastruktury sieciowej, migrację środowiska wirtualizacyjnego VMware, migrację kontrolera domeny opartego o system Windows Server. Montaż, konfiguracja oraz migracja, tj.:</w:t>
      </w:r>
    </w:p>
    <w:p w14:paraId="2B3C992A" w14:textId="77777777" w:rsidR="0012612B" w:rsidRDefault="00FF624E">
      <w:pPr>
        <w:widowControl w:val="0"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before="26" w:after="0" w:line="240" w:lineRule="auto"/>
        <w:ind w:right="0" w:hanging="117"/>
      </w:pPr>
      <w:r>
        <w:t>Instalacja serwerów sztuk 3:</w:t>
      </w:r>
    </w:p>
    <w:p w14:paraId="4ECCB72D" w14:textId="77777777" w:rsidR="0012612B" w:rsidRDefault="00FF624E">
      <w:pPr>
        <w:widowControl w:val="0"/>
        <w:numPr>
          <w:ilvl w:val="2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662"/>
        </w:tabs>
        <w:spacing w:before="24" w:after="0" w:line="240" w:lineRule="auto"/>
        <w:ind w:left="1661" w:right="0" w:hanging="143"/>
      </w:pPr>
      <w:r>
        <w:t>Montaż nowych serwerów w szafach rack w serwerowni Zamawiającego</w:t>
      </w:r>
    </w:p>
    <w:p w14:paraId="1E9C07CD" w14:textId="77777777" w:rsidR="0012612B" w:rsidRDefault="00FF624E">
      <w:pPr>
        <w:widowControl w:val="0"/>
        <w:numPr>
          <w:ilvl w:val="2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6" w:after="0" w:line="240" w:lineRule="auto"/>
        <w:ind w:right="0" w:hanging="154"/>
      </w:pPr>
      <w:r>
        <w:t>Podłączenie urządzeń do istniejącej infrastruktury w sposób zapewniający redundancję połączeń sieciowych i zasilania,</w:t>
      </w:r>
    </w:p>
    <w:p w14:paraId="62E3FDC4" w14:textId="77777777" w:rsidR="0012612B" w:rsidRDefault="00FF624E">
      <w:pPr>
        <w:widowControl w:val="0"/>
        <w:numPr>
          <w:ilvl w:val="2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5" w:after="0" w:line="240" w:lineRule="auto"/>
        <w:ind w:right="0" w:hanging="154"/>
      </w:pPr>
      <w:r>
        <w:t>Konfiguracja Raid 1 oraz out-of-band-management według wymagań Zamawiającego ustalonych podczas wdrożenia</w:t>
      </w:r>
    </w:p>
    <w:p w14:paraId="5F8B2E2E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ind w:right="0"/>
        <w:rPr>
          <w:sz w:val="26"/>
          <w:szCs w:val="26"/>
        </w:rPr>
      </w:pPr>
    </w:p>
    <w:p w14:paraId="79777CB7" w14:textId="77777777" w:rsidR="0012612B" w:rsidRDefault="00FF624E">
      <w:pPr>
        <w:pStyle w:val="Nagwek1"/>
        <w:tabs>
          <w:tab w:val="left" w:pos="1136"/>
        </w:tabs>
        <w:ind w:firstLine="699"/>
        <w:jc w:val="both"/>
        <w:rPr>
          <w:b w:val="0"/>
          <w:bCs w:val="0"/>
        </w:rPr>
      </w:pPr>
      <w:r>
        <w:t>Konfiguracja urządzeń NAS Synology sztuk 2 jako klaster wysokiej dostępności (High Availability):</w:t>
      </w:r>
    </w:p>
    <w:p w14:paraId="77F868CB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 w:hanging="155"/>
      </w:pPr>
      <w:r>
        <w:t>Montaż urządzeń NAS Synology w szafie rack,</w:t>
      </w:r>
    </w:p>
    <w:p w14:paraId="0FD93EBE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7" w:after="0" w:line="240" w:lineRule="auto"/>
        <w:ind w:right="0"/>
      </w:pPr>
      <w:r>
        <w:t>Podłączenie urządzeń do istniejącej infrastruktury w sposób zapewniający redundancję połączeń sieciowych i zasilania,</w:t>
      </w:r>
    </w:p>
    <w:p w14:paraId="1C48B067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5" w:after="0" w:line="240" w:lineRule="auto"/>
        <w:ind w:right="0" w:hanging="155"/>
      </w:pPr>
      <w:r>
        <w:lastRenderedPageBreak/>
        <w:t>Konfiguracja klastra wysokiej dostępności (High Availability),</w:t>
      </w:r>
    </w:p>
    <w:p w14:paraId="2BA42DCB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 w:hanging="155"/>
      </w:pPr>
      <w:r>
        <w:t>Udostępnienie zasobów (NFS) dla nowego środowiska VMware,</w:t>
      </w:r>
    </w:p>
    <w:p w14:paraId="547D9E6F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 w:hanging="155"/>
      </w:pPr>
      <w:r>
        <w:t>Migracja danych z obecnych systemów NAS na nowo skonfigurowane,</w:t>
      </w:r>
    </w:p>
    <w:p w14:paraId="7233F26C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 w:hanging="155"/>
      </w:pPr>
      <w:r>
        <w:t>Konfiguracja polityk backup’u w oparciu o istniejące polityki bezpieczeństwa,</w:t>
      </w:r>
    </w:p>
    <w:p w14:paraId="4DE7FADE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7" w:after="0" w:line="240" w:lineRule="auto"/>
        <w:ind w:right="0" w:hanging="155"/>
      </w:pPr>
      <w:r>
        <w:t>Przeprowadzenie testów dostępności i wydajności storage'u.</w:t>
      </w:r>
    </w:p>
    <w:p w14:paraId="578FE433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spacing w:before="12"/>
        <w:ind w:right="0"/>
        <w:rPr>
          <w:sz w:val="25"/>
          <w:szCs w:val="25"/>
        </w:rPr>
      </w:pPr>
    </w:p>
    <w:p w14:paraId="4632524B" w14:textId="77777777" w:rsidR="0012612B" w:rsidRDefault="00FF624E">
      <w:pPr>
        <w:pStyle w:val="Nagwek1"/>
        <w:tabs>
          <w:tab w:val="left" w:pos="1071"/>
        </w:tabs>
        <w:ind w:left="709" w:firstLine="0"/>
        <w:jc w:val="both"/>
      </w:pPr>
      <w:r>
        <w:t>Montaż i konfiguracja przełączników sieciowych sztuk 3:</w:t>
      </w:r>
    </w:p>
    <w:p w14:paraId="138BD1F4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7" w:after="0" w:line="240" w:lineRule="auto"/>
        <w:ind w:right="0" w:hanging="155"/>
      </w:pPr>
      <w:r>
        <w:t>Montaż nowych przełączników sieciowych w szafach rack,</w:t>
      </w:r>
    </w:p>
    <w:p w14:paraId="760234C9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 w:hanging="155"/>
      </w:pPr>
      <w:r>
        <w:t>Połączenie urządzeń w ramach VSF (Virtual Switching Framework),</w:t>
      </w:r>
    </w:p>
    <w:p w14:paraId="4DAFF73C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/>
      </w:pPr>
      <w:r>
        <w:t>Konfiguracja VLAN'ów, agregacji łączy, port security, zabezpieczeń warstwy sieciowej oraz dostępu zdalnego do urządzeń,</w:t>
      </w:r>
    </w:p>
    <w:p w14:paraId="72AC8825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 w:hanging="155"/>
      </w:pPr>
      <w:r>
        <w:t>Uporządkowanie kabli sieciowych w szafach rack,</w:t>
      </w:r>
    </w:p>
    <w:p w14:paraId="5FEFDAFE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spacing w:before="3"/>
        <w:ind w:right="0"/>
        <w:rPr>
          <w:sz w:val="26"/>
          <w:szCs w:val="26"/>
        </w:rPr>
      </w:pPr>
    </w:p>
    <w:p w14:paraId="0FB11D51" w14:textId="77777777" w:rsidR="0012612B" w:rsidRDefault="00FF624E">
      <w:pPr>
        <w:pStyle w:val="Nagwek1"/>
        <w:tabs>
          <w:tab w:val="left" w:pos="1069"/>
        </w:tabs>
        <w:ind w:left="709" w:firstLine="0"/>
        <w:jc w:val="both"/>
      </w:pPr>
      <w:r>
        <w:t>Migracja i konfiguracja klastra VMware w oparciu o 3 serwery fizyczne jako klaster wysokiej dostępności (High Availability):</w:t>
      </w:r>
    </w:p>
    <w:p w14:paraId="18BE5424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 w:hanging="155"/>
      </w:pPr>
      <w:r>
        <w:t>Przeniesienie istniejącego środowiska wirtualizacyjnego VMware na nowe serwery,</w:t>
      </w:r>
    </w:p>
    <w:p w14:paraId="58AEA6E5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7" w:after="0" w:line="240" w:lineRule="auto"/>
        <w:ind w:right="0" w:hanging="155"/>
      </w:pPr>
      <w:r>
        <w:t>Instalacja oraz konfiguracja komponentów VMware (vCenter, ESXi),</w:t>
      </w:r>
    </w:p>
    <w:p w14:paraId="3F457369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 w:hanging="155"/>
      </w:pPr>
      <w:r>
        <w:t>Konfiguracja klastra wirtualizacyjnego z funkcjami wysokiej dostępności (High</w:t>
      </w:r>
    </w:p>
    <w:p w14:paraId="66696347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spacing w:before="1"/>
        <w:ind w:left="1673" w:right="0"/>
      </w:pPr>
      <w:r>
        <w:t>Availability),</w:t>
      </w:r>
    </w:p>
    <w:p w14:paraId="7412765A" w14:textId="77777777" w:rsidR="0012612B" w:rsidRDefault="00FF624E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before="1" w:after="0" w:line="240" w:lineRule="auto"/>
        <w:ind w:left="1701" w:right="0" w:hanging="140"/>
      </w:pPr>
      <w:r>
        <w:rPr>
          <w:color w:val="000000"/>
        </w:rPr>
        <w:t>Podłączenie środowiska VMware do nowych zasobów dyskowych skonfigurowanych na urządzeniach NAS,</w:t>
      </w:r>
    </w:p>
    <w:p w14:paraId="0353598E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 w:hanging="155"/>
      </w:pPr>
      <w:r>
        <w:t>Konfiguracja sieci wirtualnych (vSwitch),</w:t>
      </w:r>
    </w:p>
    <w:p w14:paraId="2F9F3DA1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2" w:lineRule="auto"/>
        <w:ind w:right="0"/>
      </w:pPr>
      <w:r>
        <w:t>Wykonanie testów funkcjonalnych, migracja maszyn wirtualnych i weryfikacja integralności danych.</w:t>
      </w:r>
    </w:p>
    <w:p w14:paraId="0B0C274E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spacing w:before="9"/>
        <w:ind w:right="0"/>
        <w:rPr>
          <w:sz w:val="25"/>
          <w:szCs w:val="25"/>
        </w:rPr>
      </w:pPr>
    </w:p>
    <w:p w14:paraId="6C4C8F55" w14:textId="77777777" w:rsidR="0012612B" w:rsidRDefault="00FF624E">
      <w:pPr>
        <w:pStyle w:val="Nagwek1"/>
        <w:tabs>
          <w:tab w:val="left" w:pos="1095"/>
        </w:tabs>
        <w:spacing w:before="1"/>
        <w:ind w:left="709"/>
        <w:jc w:val="both"/>
      </w:pPr>
      <w:r>
        <w:t>Instalacja oraz migracja konfiguracji dla kontrolera domeny w oparciu o Windows Server 2025</w:t>
      </w:r>
    </w:p>
    <w:p w14:paraId="5023B254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 w:hanging="155"/>
      </w:pPr>
      <w:r>
        <w:t>Instalacja nowego kontrolera domeny na bazie Windows Server 2025,</w:t>
      </w:r>
    </w:p>
    <w:p w14:paraId="047D2380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4" w:after="0" w:line="240" w:lineRule="auto"/>
        <w:ind w:right="0" w:hanging="155"/>
      </w:pPr>
      <w:r>
        <w:t>Migracja bieżącej konfiguracji kontrolera domeny (AD, DNS, DHCP, GPO) z obecnego</w:t>
      </w:r>
    </w:p>
    <w:p w14:paraId="4FC796F4" w14:textId="77777777" w:rsidR="0012612B" w:rsidRDefault="00FF624E">
      <w:pPr>
        <w:pBdr>
          <w:top w:val="nil"/>
          <w:left w:val="nil"/>
          <w:bottom w:val="nil"/>
          <w:right w:val="nil"/>
          <w:between w:val="nil"/>
        </w:pBdr>
        <w:spacing w:before="3"/>
        <w:ind w:left="1673" w:right="0"/>
      </w:pPr>
      <w:r>
        <w:t>kontrolera domeny opartego o Windows Server 2019,</w:t>
      </w:r>
    </w:p>
    <w:p w14:paraId="36F6E3FC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5" w:after="0" w:line="240" w:lineRule="auto"/>
        <w:ind w:right="0" w:hanging="155"/>
      </w:pPr>
      <w:r>
        <w:t>Weryfikacja poprawności migracji i zapewnienie ciągłości działania migrowanych usług.</w:t>
      </w:r>
    </w:p>
    <w:p w14:paraId="3895101E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spacing w:before="11"/>
        <w:ind w:right="0"/>
        <w:rPr>
          <w:sz w:val="25"/>
          <w:szCs w:val="25"/>
        </w:rPr>
      </w:pPr>
    </w:p>
    <w:p w14:paraId="49981302" w14:textId="77777777" w:rsidR="0012612B" w:rsidRDefault="00FF624E">
      <w:pPr>
        <w:widowControl w:val="0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1"/>
        </w:tabs>
        <w:spacing w:before="1" w:after="0" w:line="240" w:lineRule="auto"/>
        <w:ind w:left="1070" w:right="0" w:hanging="117"/>
        <w:rPr>
          <w:b/>
          <w:bCs/>
        </w:rPr>
      </w:pPr>
      <w:r>
        <w:rPr>
          <w:b/>
          <w:bCs/>
          <w:u w:val="single"/>
        </w:rPr>
        <w:t>Wymagania dodatkowe</w:t>
      </w:r>
    </w:p>
    <w:p w14:paraId="6A1E11D6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6" w:after="0" w:line="240" w:lineRule="auto"/>
        <w:ind w:right="0"/>
      </w:pPr>
      <w:r>
        <w:t>Wykonawca zobowiązuje się do wykonania wszystkich prac w terminach i godzinach ustalonych z Zamawiającym, poza godzinami pracy Urzędu,</w:t>
      </w:r>
    </w:p>
    <w:p w14:paraId="1E9F1DFA" w14:textId="77777777" w:rsidR="0012612B" w:rsidRDefault="00FF624E">
      <w:pPr>
        <w:widowControl w:val="0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4"/>
        </w:tabs>
        <w:spacing w:before="25" w:after="0" w:line="240" w:lineRule="auto"/>
        <w:ind w:right="0"/>
      </w:pPr>
      <w:r>
        <w:t>Po zakończeniu prac Wykonawca przedstawi kompletną dokumentację techniczną obejmującą konfiguracje, schematy połączeń oraz dane dostępowe.</w:t>
      </w:r>
    </w:p>
    <w:p w14:paraId="594DD47D" w14:textId="77777777" w:rsidR="0012612B" w:rsidRDefault="0012612B">
      <w:pPr>
        <w:pBdr>
          <w:top w:val="nil"/>
          <w:left w:val="nil"/>
          <w:bottom w:val="nil"/>
          <w:right w:val="nil"/>
          <w:between w:val="nil"/>
        </w:pBdr>
        <w:ind w:right="0"/>
      </w:pPr>
    </w:p>
    <w:p w14:paraId="19DDA2FE" w14:textId="2AD7DEB1" w:rsidR="0012612B" w:rsidRDefault="00FF624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0"/>
      </w:pPr>
      <w:r>
        <w:rPr>
          <w:b/>
          <w:bCs/>
        </w:rPr>
        <w:t xml:space="preserve">Wykonawca jest zobowiązany wykonać zamówienie nie później niż w terminie: </w:t>
      </w:r>
      <w:r>
        <w:rPr>
          <w:b/>
          <w:bCs/>
          <w:u w:val="single"/>
        </w:rPr>
        <w:t>60 dni</w:t>
      </w:r>
      <w:r>
        <w:rPr>
          <w:b/>
          <w:bCs/>
        </w:rPr>
        <w:t xml:space="preserve"> kalendarzowych od dnia zawarcia umowy</w:t>
      </w:r>
      <w:r w:rsidR="009A181E">
        <w:rPr>
          <w:b/>
          <w:bCs/>
        </w:rPr>
        <w:t xml:space="preserve"> (jednak nie później niż do 31 maja 2026)</w:t>
      </w:r>
      <w:r>
        <w:rPr>
          <w:b/>
          <w:bCs/>
        </w:rPr>
        <w:t>.</w:t>
      </w:r>
    </w:p>
    <w:sectPr w:rsidR="0012612B">
      <w:headerReference w:type="even" r:id="rId8"/>
      <w:headerReference w:type="default" r:id="rId9"/>
      <w:headerReference w:type="first" r:id="rId10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A4F45E" w14:textId="77777777" w:rsidR="00FF624E" w:rsidRDefault="00FF624E">
      <w:pPr>
        <w:spacing w:after="0" w:line="240" w:lineRule="auto"/>
      </w:pPr>
      <w:r>
        <w:separator/>
      </w:r>
    </w:p>
  </w:endnote>
  <w:endnote w:type="continuationSeparator" w:id="0">
    <w:p w14:paraId="66D2E879" w14:textId="77777777" w:rsidR="00FF624E" w:rsidRDefault="00FF62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AA6A0069-34A5-4DAF-9B8B-C32CBD053E21}"/>
    <w:embedBold r:id="rId2" w:fontKey="{F7F3BCBB-D393-4E61-B8C9-4AA5D92564D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3" w:fontKey="{9378960D-FA98-4D43-9BF6-37E6ADC252A5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Play">
    <w:charset w:val="00"/>
    <w:family w:val="auto"/>
    <w:pitch w:val="default"/>
    <w:embedRegular r:id="rId4" w:fontKey="{6AFDF6D7-2115-4777-8B0F-4AACEFDE7807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D0FA8380-92E1-48A3-8A54-5CD4AB1CA3A1}"/>
  </w:font>
  <w:font w:name="Liberation Serif">
    <w:altName w:val="Times New Roman"/>
    <w:charset w:val="00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2F7CDFB1-13B0-4AB3-8ACF-4CED4F4CB4D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8A6CBBF9-310A-40EA-91FA-3E7B8303870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8" w:fontKey="{05E853DF-D46C-4EDC-8E77-CB7E5D8E389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A51D9B" w14:textId="77777777" w:rsidR="00FF624E" w:rsidRDefault="00FF624E">
      <w:pPr>
        <w:spacing w:after="0" w:line="240" w:lineRule="auto"/>
      </w:pPr>
      <w:r>
        <w:separator/>
      </w:r>
    </w:p>
  </w:footnote>
  <w:footnote w:type="continuationSeparator" w:id="0">
    <w:p w14:paraId="7C0AD0D0" w14:textId="77777777" w:rsidR="00FF624E" w:rsidRDefault="00FF62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785BCB" w14:textId="77777777" w:rsidR="0012612B" w:rsidRDefault="00FF624E">
    <w:pPr>
      <w:spacing w:after="0" w:line="259" w:lineRule="auto"/>
      <w:ind w:left="0" w:right="-46"/>
      <w:jc w:val="right"/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05E95AF9" wp14:editId="6453BF12">
          <wp:simplePos x="0" y="0"/>
          <wp:positionH relativeFrom="page">
            <wp:posOffset>899794</wp:posOffset>
          </wp:positionH>
          <wp:positionV relativeFrom="page">
            <wp:posOffset>449580</wp:posOffset>
          </wp:positionV>
          <wp:extent cx="5755767" cy="594995"/>
          <wp:effectExtent l="0" t="0" r="0" b="0"/>
          <wp:wrapSquare wrapText="bothSides" distT="0" distB="0" distL="114300" distR="114300"/>
          <wp:docPr id="197539741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767" cy="5949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71EB10" w14:textId="77777777" w:rsidR="0012612B" w:rsidRDefault="00FF624E">
    <w:pPr>
      <w:spacing w:after="0" w:line="259" w:lineRule="auto"/>
      <w:ind w:left="0" w:right="-46"/>
      <w:jc w:val="right"/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7BD613B7" wp14:editId="5EBF4F2F">
          <wp:simplePos x="0" y="0"/>
          <wp:positionH relativeFrom="page">
            <wp:posOffset>899794</wp:posOffset>
          </wp:positionH>
          <wp:positionV relativeFrom="page">
            <wp:posOffset>449580</wp:posOffset>
          </wp:positionV>
          <wp:extent cx="5755767" cy="594995"/>
          <wp:effectExtent l="0" t="0" r="0" b="0"/>
          <wp:wrapSquare wrapText="bothSides" distT="0" distB="0" distL="114300" distR="114300"/>
          <wp:docPr id="197539741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767" cy="5949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E2E86D" w14:textId="77777777" w:rsidR="0012612B" w:rsidRDefault="00FF624E">
    <w:pPr>
      <w:spacing w:after="0" w:line="259" w:lineRule="auto"/>
      <w:ind w:left="0" w:right="-46"/>
      <w:jc w:val="right"/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6C4DBA14" wp14:editId="7CE882B4">
          <wp:simplePos x="0" y="0"/>
          <wp:positionH relativeFrom="page">
            <wp:posOffset>899794</wp:posOffset>
          </wp:positionH>
          <wp:positionV relativeFrom="page">
            <wp:posOffset>449580</wp:posOffset>
          </wp:positionV>
          <wp:extent cx="5755767" cy="594995"/>
          <wp:effectExtent l="0" t="0" r="0" b="0"/>
          <wp:wrapSquare wrapText="bothSides" distT="0" distB="0" distL="114300" distR="114300"/>
          <wp:docPr id="1975397414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767" cy="5949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46CD4"/>
    <w:multiLevelType w:val="multilevel"/>
    <w:tmpl w:val="A2088A9E"/>
    <w:lvl w:ilvl="0">
      <w:start w:val="2"/>
      <w:numFmt w:val="decimal"/>
      <w:lvlText w:val="%1)"/>
      <w:lvlJc w:val="left"/>
      <w:pPr>
        <w:ind w:left="922" w:hanging="394"/>
      </w:pPr>
      <w:rPr>
        <w:rFonts w:ascii="Calibri" w:eastAsia="Calibri" w:hAnsi="Calibri" w:cs="Calibri"/>
        <w:sz w:val="22"/>
        <w:szCs w:val="22"/>
      </w:rPr>
    </w:lvl>
    <w:lvl w:ilvl="1">
      <w:numFmt w:val="bullet"/>
      <w:lvlText w:val="-"/>
      <w:lvlJc w:val="left"/>
      <w:pPr>
        <w:ind w:left="1070" w:hanging="118"/>
      </w:pPr>
      <w:rPr>
        <w:rFonts w:ascii="Calibri" w:eastAsia="Calibri" w:hAnsi="Calibri" w:cs="Calibri"/>
        <w:sz w:val="22"/>
        <w:szCs w:val="22"/>
      </w:rPr>
    </w:lvl>
    <w:lvl w:ilvl="2">
      <w:numFmt w:val="bullet"/>
      <w:lvlText w:val="●"/>
      <w:lvlJc w:val="left"/>
      <w:pPr>
        <w:ind w:left="1673" w:hanging="140"/>
      </w:pPr>
      <w:rPr>
        <w:rFonts w:ascii="Arial" w:eastAsia="Arial" w:hAnsi="Arial" w:cs="Arial"/>
        <w:sz w:val="20"/>
        <w:szCs w:val="20"/>
      </w:rPr>
    </w:lvl>
    <w:lvl w:ilvl="3">
      <w:numFmt w:val="bullet"/>
      <w:lvlText w:val="•"/>
      <w:lvlJc w:val="left"/>
      <w:pPr>
        <w:ind w:left="2663" w:hanging="142"/>
      </w:pPr>
    </w:lvl>
    <w:lvl w:ilvl="4">
      <w:numFmt w:val="bullet"/>
      <w:lvlText w:val="•"/>
      <w:lvlJc w:val="left"/>
      <w:pPr>
        <w:ind w:left="3647" w:hanging="142"/>
      </w:pPr>
    </w:lvl>
    <w:lvl w:ilvl="5">
      <w:numFmt w:val="bullet"/>
      <w:lvlText w:val="•"/>
      <w:lvlJc w:val="left"/>
      <w:pPr>
        <w:ind w:left="4631" w:hanging="142"/>
      </w:pPr>
    </w:lvl>
    <w:lvl w:ilvl="6">
      <w:numFmt w:val="bullet"/>
      <w:lvlText w:val="•"/>
      <w:lvlJc w:val="left"/>
      <w:pPr>
        <w:ind w:left="5615" w:hanging="142"/>
      </w:pPr>
    </w:lvl>
    <w:lvl w:ilvl="7">
      <w:numFmt w:val="bullet"/>
      <w:lvlText w:val="•"/>
      <w:lvlJc w:val="left"/>
      <w:pPr>
        <w:ind w:left="6599" w:hanging="142"/>
      </w:pPr>
    </w:lvl>
    <w:lvl w:ilvl="8">
      <w:numFmt w:val="bullet"/>
      <w:lvlText w:val="•"/>
      <w:lvlJc w:val="left"/>
      <w:pPr>
        <w:ind w:left="7583" w:hanging="142"/>
      </w:pPr>
    </w:lvl>
  </w:abstractNum>
  <w:abstractNum w:abstractNumId="1" w15:restartNumberingAfterBreak="0">
    <w:nsid w:val="06477BEC"/>
    <w:multiLevelType w:val="multilevel"/>
    <w:tmpl w:val="D7463F2A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826199"/>
    <w:multiLevelType w:val="multilevel"/>
    <w:tmpl w:val="12522A0E"/>
    <w:lvl w:ilvl="0">
      <w:start w:val="1"/>
      <w:numFmt w:val="bullet"/>
      <w:lvlText w:val="●"/>
      <w:lvlJc w:val="left"/>
      <w:pPr>
        <w:ind w:left="2371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309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81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53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25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97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69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41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8131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3F70615"/>
    <w:multiLevelType w:val="multilevel"/>
    <w:tmpl w:val="1AF0E5E6"/>
    <w:lvl w:ilvl="0">
      <w:start w:val="1"/>
      <w:numFmt w:val="lowerLetter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4" w15:restartNumberingAfterBreak="0">
    <w:nsid w:val="259A498F"/>
    <w:multiLevelType w:val="multilevel"/>
    <w:tmpl w:val="8C588E6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1C739B"/>
    <w:multiLevelType w:val="multilevel"/>
    <w:tmpl w:val="BF46836A"/>
    <w:lvl w:ilvl="0">
      <w:start w:val="1"/>
      <w:numFmt w:val="decimal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6" w15:restartNumberingAfterBreak="0">
    <w:nsid w:val="28DD56BF"/>
    <w:multiLevelType w:val="multilevel"/>
    <w:tmpl w:val="2C68FEFC"/>
    <w:lvl w:ilvl="0">
      <w:start w:val="1"/>
      <w:numFmt w:val="decimal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7" w15:restartNumberingAfterBreak="0">
    <w:nsid w:val="29B831E5"/>
    <w:multiLevelType w:val="multilevel"/>
    <w:tmpl w:val="9AFEA7D2"/>
    <w:lvl w:ilvl="0">
      <w:numFmt w:val="bullet"/>
      <w:lvlText w:val="•"/>
      <w:lvlJc w:val="left"/>
      <w:pPr>
        <w:ind w:left="1737" w:hanging="219"/>
      </w:pPr>
      <w:rPr>
        <w:rFonts w:ascii="Calibri" w:eastAsia="Calibri" w:hAnsi="Calibri" w:cs="Calibri"/>
        <w:sz w:val="22"/>
        <w:szCs w:val="22"/>
      </w:rPr>
    </w:lvl>
    <w:lvl w:ilvl="1">
      <w:numFmt w:val="bullet"/>
      <w:lvlText w:val="•"/>
      <w:lvlJc w:val="left"/>
      <w:pPr>
        <w:ind w:left="2521" w:hanging="219"/>
      </w:pPr>
    </w:lvl>
    <w:lvl w:ilvl="2">
      <w:numFmt w:val="bullet"/>
      <w:lvlText w:val="•"/>
      <w:lvlJc w:val="left"/>
      <w:pPr>
        <w:ind w:left="3302" w:hanging="219"/>
      </w:pPr>
    </w:lvl>
    <w:lvl w:ilvl="3">
      <w:numFmt w:val="bullet"/>
      <w:lvlText w:val="•"/>
      <w:lvlJc w:val="left"/>
      <w:pPr>
        <w:ind w:left="4083" w:hanging="218"/>
      </w:pPr>
    </w:lvl>
    <w:lvl w:ilvl="4">
      <w:numFmt w:val="bullet"/>
      <w:lvlText w:val="•"/>
      <w:lvlJc w:val="left"/>
      <w:pPr>
        <w:ind w:left="4864" w:hanging="219"/>
      </w:pPr>
    </w:lvl>
    <w:lvl w:ilvl="5">
      <w:numFmt w:val="bullet"/>
      <w:lvlText w:val="•"/>
      <w:lvlJc w:val="left"/>
      <w:pPr>
        <w:ind w:left="5645" w:hanging="219"/>
      </w:pPr>
    </w:lvl>
    <w:lvl w:ilvl="6">
      <w:numFmt w:val="bullet"/>
      <w:lvlText w:val="•"/>
      <w:lvlJc w:val="left"/>
      <w:pPr>
        <w:ind w:left="6426" w:hanging="219"/>
      </w:pPr>
    </w:lvl>
    <w:lvl w:ilvl="7">
      <w:numFmt w:val="bullet"/>
      <w:lvlText w:val="•"/>
      <w:lvlJc w:val="left"/>
      <w:pPr>
        <w:ind w:left="7207" w:hanging="217"/>
      </w:pPr>
    </w:lvl>
    <w:lvl w:ilvl="8">
      <w:numFmt w:val="bullet"/>
      <w:lvlText w:val="•"/>
      <w:lvlJc w:val="left"/>
      <w:pPr>
        <w:ind w:left="7988" w:hanging="219"/>
      </w:pPr>
    </w:lvl>
  </w:abstractNum>
  <w:abstractNum w:abstractNumId="8" w15:restartNumberingAfterBreak="0">
    <w:nsid w:val="35134547"/>
    <w:multiLevelType w:val="multilevel"/>
    <w:tmpl w:val="01BA96F4"/>
    <w:lvl w:ilvl="0">
      <w:numFmt w:val="bullet"/>
      <w:lvlText w:val="-"/>
      <w:lvlJc w:val="left"/>
      <w:pPr>
        <w:ind w:left="924" w:hanging="182"/>
      </w:pPr>
      <w:rPr>
        <w:rFonts w:ascii="Calibri" w:eastAsia="Calibri" w:hAnsi="Calibri" w:cs="Calibri"/>
        <w:b/>
        <w:bCs/>
        <w:sz w:val="22"/>
        <w:szCs w:val="22"/>
      </w:rPr>
    </w:lvl>
    <w:lvl w:ilvl="1">
      <w:numFmt w:val="bullet"/>
      <w:lvlText w:val="●"/>
      <w:lvlJc w:val="left"/>
      <w:pPr>
        <w:ind w:left="1673" w:hanging="154"/>
      </w:pPr>
      <w:rPr>
        <w:rFonts w:ascii="Arial" w:eastAsia="Arial" w:hAnsi="Arial" w:cs="Arial"/>
        <w:sz w:val="22"/>
        <w:szCs w:val="22"/>
      </w:rPr>
    </w:lvl>
    <w:lvl w:ilvl="2">
      <w:numFmt w:val="bullet"/>
      <w:lvlText w:val="•"/>
      <w:lvlJc w:val="left"/>
      <w:pPr>
        <w:ind w:left="2554" w:hanging="154"/>
      </w:pPr>
    </w:lvl>
    <w:lvl w:ilvl="3">
      <w:numFmt w:val="bullet"/>
      <w:lvlText w:val="•"/>
      <w:lvlJc w:val="left"/>
      <w:pPr>
        <w:ind w:left="3429" w:hanging="154"/>
      </w:pPr>
    </w:lvl>
    <w:lvl w:ilvl="4">
      <w:numFmt w:val="bullet"/>
      <w:lvlText w:val="•"/>
      <w:lvlJc w:val="left"/>
      <w:pPr>
        <w:ind w:left="4303" w:hanging="154"/>
      </w:pPr>
    </w:lvl>
    <w:lvl w:ilvl="5">
      <w:numFmt w:val="bullet"/>
      <w:lvlText w:val="•"/>
      <w:lvlJc w:val="left"/>
      <w:pPr>
        <w:ind w:left="5178" w:hanging="154"/>
      </w:pPr>
    </w:lvl>
    <w:lvl w:ilvl="6">
      <w:numFmt w:val="bullet"/>
      <w:lvlText w:val="•"/>
      <w:lvlJc w:val="left"/>
      <w:pPr>
        <w:ind w:left="6052" w:hanging="152"/>
      </w:pPr>
    </w:lvl>
    <w:lvl w:ilvl="7">
      <w:numFmt w:val="bullet"/>
      <w:lvlText w:val="•"/>
      <w:lvlJc w:val="left"/>
      <w:pPr>
        <w:ind w:left="6927" w:hanging="152"/>
      </w:pPr>
    </w:lvl>
    <w:lvl w:ilvl="8">
      <w:numFmt w:val="bullet"/>
      <w:lvlText w:val="•"/>
      <w:lvlJc w:val="left"/>
      <w:pPr>
        <w:ind w:left="7802" w:hanging="152"/>
      </w:pPr>
    </w:lvl>
  </w:abstractNum>
  <w:abstractNum w:abstractNumId="9" w15:restartNumberingAfterBreak="0">
    <w:nsid w:val="35DD2161"/>
    <w:multiLevelType w:val="multilevel"/>
    <w:tmpl w:val="695C614C"/>
    <w:lvl w:ilvl="0">
      <w:start w:val="1"/>
      <w:numFmt w:val="lowerLetter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10" w15:restartNumberingAfterBreak="0">
    <w:nsid w:val="360B0216"/>
    <w:multiLevelType w:val="multilevel"/>
    <w:tmpl w:val="5F6C1A3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4E1B98"/>
    <w:multiLevelType w:val="multilevel"/>
    <w:tmpl w:val="B680EF46"/>
    <w:lvl w:ilvl="0">
      <w:numFmt w:val="bullet"/>
      <w:lvlText w:val="-"/>
      <w:lvlJc w:val="left"/>
      <w:pPr>
        <w:ind w:left="1070" w:hanging="118"/>
      </w:pPr>
      <w:rPr>
        <w:rFonts w:ascii="Calibri" w:eastAsia="Calibri" w:hAnsi="Calibri" w:cs="Calibri"/>
        <w:sz w:val="22"/>
        <w:szCs w:val="22"/>
      </w:rPr>
    </w:lvl>
    <w:lvl w:ilvl="1">
      <w:numFmt w:val="bullet"/>
      <w:lvlText w:val="•"/>
      <w:lvlJc w:val="left"/>
      <w:pPr>
        <w:ind w:left="1661" w:hanging="204"/>
      </w:pPr>
      <w:rPr>
        <w:rFonts w:ascii="Calibri" w:eastAsia="Calibri" w:hAnsi="Calibri" w:cs="Calibri"/>
        <w:sz w:val="22"/>
        <w:szCs w:val="22"/>
      </w:rPr>
    </w:lvl>
    <w:lvl w:ilvl="2">
      <w:numFmt w:val="bullet"/>
      <w:lvlText w:val="•"/>
      <w:lvlJc w:val="left"/>
      <w:pPr>
        <w:ind w:left="1680" w:hanging="204"/>
      </w:pPr>
    </w:lvl>
    <w:lvl w:ilvl="3">
      <w:numFmt w:val="bullet"/>
      <w:lvlText w:val="•"/>
      <w:lvlJc w:val="left"/>
      <w:pPr>
        <w:ind w:left="2663" w:hanging="204"/>
      </w:pPr>
    </w:lvl>
    <w:lvl w:ilvl="4">
      <w:numFmt w:val="bullet"/>
      <w:lvlText w:val="•"/>
      <w:lvlJc w:val="left"/>
      <w:pPr>
        <w:ind w:left="3647" w:hanging="204"/>
      </w:pPr>
    </w:lvl>
    <w:lvl w:ilvl="5">
      <w:numFmt w:val="bullet"/>
      <w:lvlText w:val="•"/>
      <w:lvlJc w:val="left"/>
      <w:pPr>
        <w:ind w:left="4631" w:hanging="204"/>
      </w:pPr>
    </w:lvl>
    <w:lvl w:ilvl="6">
      <w:numFmt w:val="bullet"/>
      <w:lvlText w:val="•"/>
      <w:lvlJc w:val="left"/>
      <w:pPr>
        <w:ind w:left="5615" w:hanging="204"/>
      </w:pPr>
    </w:lvl>
    <w:lvl w:ilvl="7">
      <w:numFmt w:val="bullet"/>
      <w:lvlText w:val="•"/>
      <w:lvlJc w:val="left"/>
      <w:pPr>
        <w:ind w:left="6599" w:hanging="204"/>
      </w:pPr>
    </w:lvl>
    <w:lvl w:ilvl="8">
      <w:numFmt w:val="bullet"/>
      <w:lvlText w:val="•"/>
      <w:lvlJc w:val="left"/>
      <w:pPr>
        <w:ind w:left="7583" w:hanging="204"/>
      </w:pPr>
    </w:lvl>
  </w:abstractNum>
  <w:abstractNum w:abstractNumId="12" w15:restartNumberingAfterBreak="0">
    <w:nsid w:val="399D0925"/>
    <w:multiLevelType w:val="multilevel"/>
    <w:tmpl w:val="218A28A2"/>
    <w:lvl w:ilvl="0">
      <w:start w:val="1"/>
      <w:numFmt w:val="bullet"/>
      <w:lvlText w:val="●"/>
      <w:lvlJc w:val="left"/>
      <w:pPr>
        <w:ind w:left="2393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311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83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55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27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99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71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43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8153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42143F52"/>
    <w:multiLevelType w:val="multilevel"/>
    <w:tmpl w:val="DA98A7C4"/>
    <w:lvl w:ilvl="0">
      <w:start w:val="1"/>
      <w:numFmt w:val="decimal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14" w15:restartNumberingAfterBreak="0">
    <w:nsid w:val="45465A3B"/>
    <w:multiLevelType w:val="multilevel"/>
    <w:tmpl w:val="8A06A610"/>
    <w:lvl w:ilvl="0">
      <w:start w:val="1"/>
      <w:numFmt w:val="decimal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15" w15:restartNumberingAfterBreak="0">
    <w:nsid w:val="46A2721D"/>
    <w:multiLevelType w:val="multilevel"/>
    <w:tmpl w:val="46B03A4E"/>
    <w:lvl w:ilvl="0">
      <w:start w:val="1"/>
      <w:numFmt w:val="decimal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16" w15:restartNumberingAfterBreak="0">
    <w:nsid w:val="4C0E0CEE"/>
    <w:multiLevelType w:val="multilevel"/>
    <w:tmpl w:val="6DE67EE6"/>
    <w:lvl w:ilvl="0">
      <w:start w:val="1"/>
      <w:numFmt w:val="lowerLetter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17" w15:restartNumberingAfterBreak="0">
    <w:nsid w:val="511F5A51"/>
    <w:multiLevelType w:val="multilevel"/>
    <w:tmpl w:val="6036754C"/>
    <w:lvl w:ilvl="0">
      <w:start w:val="1"/>
      <w:numFmt w:val="lowerLetter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18" w15:restartNumberingAfterBreak="0">
    <w:nsid w:val="5716331F"/>
    <w:multiLevelType w:val="multilevel"/>
    <w:tmpl w:val="1FE8763A"/>
    <w:lvl w:ilvl="0">
      <w:start w:val="1"/>
      <w:numFmt w:val="lowerLetter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19" w15:restartNumberingAfterBreak="0">
    <w:nsid w:val="57790195"/>
    <w:multiLevelType w:val="multilevel"/>
    <w:tmpl w:val="DBB411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0" w15:restartNumberingAfterBreak="0">
    <w:nsid w:val="583E7CC4"/>
    <w:multiLevelType w:val="multilevel"/>
    <w:tmpl w:val="87A0A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F7137A"/>
    <w:multiLevelType w:val="multilevel"/>
    <w:tmpl w:val="ED1CEC96"/>
    <w:lvl w:ilvl="0">
      <w:numFmt w:val="bullet"/>
      <w:lvlText w:val="●"/>
      <w:lvlJc w:val="left"/>
      <w:pPr>
        <w:ind w:left="1661" w:hanging="142"/>
      </w:pPr>
      <w:rPr>
        <w:rFonts w:ascii="Arial" w:eastAsia="Arial" w:hAnsi="Arial" w:cs="Arial"/>
        <w:sz w:val="20"/>
        <w:szCs w:val="20"/>
      </w:rPr>
    </w:lvl>
    <w:lvl w:ilvl="1">
      <w:numFmt w:val="bullet"/>
      <w:lvlText w:val="•"/>
      <w:lvlJc w:val="left"/>
      <w:pPr>
        <w:ind w:left="2449" w:hanging="142"/>
      </w:pPr>
    </w:lvl>
    <w:lvl w:ilvl="2">
      <w:numFmt w:val="bullet"/>
      <w:lvlText w:val="•"/>
      <w:lvlJc w:val="left"/>
      <w:pPr>
        <w:ind w:left="3238" w:hanging="142"/>
      </w:pPr>
    </w:lvl>
    <w:lvl w:ilvl="3">
      <w:numFmt w:val="bullet"/>
      <w:lvlText w:val="•"/>
      <w:lvlJc w:val="left"/>
      <w:pPr>
        <w:ind w:left="4027" w:hanging="142"/>
      </w:pPr>
    </w:lvl>
    <w:lvl w:ilvl="4">
      <w:numFmt w:val="bullet"/>
      <w:lvlText w:val="•"/>
      <w:lvlJc w:val="left"/>
      <w:pPr>
        <w:ind w:left="4816" w:hanging="142"/>
      </w:pPr>
    </w:lvl>
    <w:lvl w:ilvl="5">
      <w:numFmt w:val="bullet"/>
      <w:lvlText w:val="•"/>
      <w:lvlJc w:val="left"/>
      <w:pPr>
        <w:ind w:left="5605" w:hanging="142"/>
      </w:pPr>
    </w:lvl>
    <w:lvl w:ilvl="6">
      <w:numFmt w:val="bullet"/>
      <w:lvlText w:val="•"/>
      <w:lvlJc w:val="left"/>
      <w:pPr>
        <w:ind w:left="6394" w:hanging="142"/>
      </w:pPr>
    </w:lvl>
    <w:lvl w:ilvl="7">
      <w:numFmt w:val="bullet"/>
      <w:lvlText w:val="•"/>
      <w:lvlJc w:val="left"/>
      <w:pPr>
        <w:ind w:left="7183" w:hanging="142"/>
      </w:pPr>
    </w:lvl>
    <w:lvl w:ilvl="8">
      <w:numFmt w:val="bullet"/>
      <w:lvlText w:val="•"/>
      <w:lvlJc w:val="left"/>
      <w:pPr>
        <w:ind w:left="7972" w:hanging="142"/>
      </w:pPr>
    </w:lvl>
  </w:abstractNum>
  <w:abstractNum w:abstractNumId="22" w15:restartNumberingAfterBreak="0">
    <w:nsid w:val="5BB45EDB"/>
    <w:multiLevelType w:val="multilevel"/>
    <w:tmpl w:val="632874F4"/>
    <w:lvl w:ilvl="0">
      <w:numFmt w:val="bullet"/>
      <w:lvlText w:val="-"/>
      <w:lvlJc w:val="left"/>
      <w:pPr>
        <w:ind w:left="1070" w:hanging="118"/>
      </w:pPr>
      <w:rPr>
        <w:rFonts w:ascii="Calibri" w:eastAsia="Calibri" w:hAnsi="Calibri" w:cs="Calibri"/>
        <w:b/>
        <w:bCs/>
        <w:sz w:val="22"/>
        <w:szCs w:val="22"/>
        <w:u w:val="single"/>
      </w:rPr>
    </w:lvl>
    <w:lvl w:ilvl="1">
      <w:numFmt w:val="bullet"/>
      <w:lvlText w:val="•"/>
      <w:lvlJc w:val="left"/>
      <w:pPr>
        <w:ind w:left="1680" w:hanging="161"/>
      </w:pPr>
      <w:rPr>
        <w:rFonts w:ascii="Calibri" w:eastAsia="Calibri" w:hAnsi="Calibri" w:cs="Calibri"/>
        <w:sz w:val="22"/>
        <w:szCs w:val="22"/>
      </w:rPr>
    </w:lvl>
    <w:lvl w:ilvl="2">
      <w:numFmt w:val="bullet"/>
      <w:lvlText w:val="•"/>
      <w:lvlJc w:val="left"/>
      <w:pPr>
        <w:ind w:left="2554" w:hanging="161"/>
      </w:pPr>
    </w:lvl>
    <w:lvl w:ilvl="3">
      <w:numFmt w:val="bullet"/>
      <w:lvlText w:val="•"/>
      <w:lvlJc w:val="left"/>
      <w:pPr>
        <w:ind w:left="3429" w:hanging="161"/>
      </w:pPr>
    </w:lvl>
    <w:lvl w:ilvl="4">
      <w:numFmt w:val="bullet"/>
      <w:lvlText w:val="•"/>
      <w:lvlJc w:val="left"/>
      <w:pPr>
        <w:ind w:left="4303" w:hanging="161"/>
      </w:pPr>
    </w:lvl>
    <w:lvl w:ilvl="5">
      <w:numFmt w:val="bullet"/>
      <w:lvlText w:val="•"/>
      <w:lvlJc w:val="left"/>
      <w:pPr>
        <w:ind w:left="5178" w:hanging="161"/>
      </w:pPr>
    </w:lvl>
    <w:lvl w:ilvl="6">
      <w:numFmt w:val="bullet"/>
      <w:lvlText w:val="•"/>
      <w:lvlJc w:val="left"/>
      <w:pPr>
        <w:ind w:left="6052" w:hanging="161"/>
      </w:pPr>
    </w:lvl>
    <w:lvl w:ilvl="7">
      <w:numFmt w:val="bullet"/>
      <w:lvlText w:val="•"/>
      <w:lvlJc w:val="left"/>
      <w:pPr>
        <w:ind w:left="6927" w:hanging="161"/>
      </w:pPr>
    </w:lvl>
    <w:lvl w:ilvl="8">
      <w:numFmt w:val="bullet"/>
      <w:lvlText w:val="•"/>
      <w:lvlJc w:val="left"/>
      <w:pPr>
        <w:ind w:left="7802" w:hanging="161"/>
      </w:pPr>
    </w:lvl>
  </w:abstractNum>
  <w:abstractNum w:abstractNumId="23" w15:restartNumberingAfterBreak="0">
    <w:nsid w:val="5D3046AE"/>
    <w:multiLevelType w:val="multilevel"/>
    <w:tmpl w:val="A26447AC"/>
    <w:lvl w:ilvl="0">
      <w:start w:val="1"/>
      <w:numFmt w:val="decimal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24" w15:restartNumberingAfterBreak="0">
    <w:nsid w:val="66470136"/>
    <w:multiLevelType w:val="multilevel"/>
    <w:tmpl w:val="4346263E"/>
    <w:lvl w:ilvl="0">
      <w:numFmt w:val="bullet"/>
      <w:lvlText w:val="-"/>
      <w:lvlJc w:val="left"/>
      <w:pPr>
        <w:ind w:left="1094" w:hanging="117"/>
      </w:pPr>
      <w:rPr>
        <w:rFonts w:ascii="Calibri" w:eastAsia="Calibri" w:hAnsi="Calibri" w:cs="Calibri"/>
        <w:sz w:val="22"/>
        <w:szCs w:val="22"/>
      </w:rPr>
    </w:lvl>
    <w:lvl w:ilvl="1">
      <w:numFmt w:val="bullet"/>
      <w:lvlText w:val="•"/>
      <w:lvlJc w:val="left"/>
      <w:pPr>
        <w:ind w:left="1519" w:hanging="185"/>
      </w:pPr>
      <w:rPr>
        <w:rFonts w:ascii="Calibri" w:eastAsia="Calibri" w:hAnsi="Calibri" w:cs="Calibri"/>
        <w:sz w:val="22"/>
        <w:szCs w:val="22"/>
      </w:rPr>
    </w:lvl>
    <w:lvl w:ilvl="2">
      <w:numFmt w:val="bullet"/>
      <w:lvlText w:val="-"/>
      <w:lvlJc w:val="left"/>
      <w:pPr>
        <w:ind w:left="1778" w:hanging="118"/>
      </w:pPr>
      <w:rPr>
        <w:rFonts w:ascii="Calibri" w:eastAsia="Calibri" w:hAnsi="Calibri" w:cs="Calibri"/>
        <w:sz w:val="22"/>
        <w:szCs w:val="22"/>
      </w:rPr>
    </w:lvl>
    <w:lvl w:ilvl="3">
      <w:numFmt w:val="bullet"/>
      <w:lvlText w:val="•"/>
      <w:lvlJc w:val="left"/>
      <w:pPr>
        <w:ind w:left="1700" w:hanging="118"/>
      </w:pPr>
    </w:lvl>
    <w:lvl w:ilvl="4">
      <w:numFmt w:val="bullet"/>
      <w:lvlText w:val="•"/>
      <w:lvlJc w:val="left"/>
      <w:pPr>
        <w:ind w:left="1780" w:hanging="118"/>
      </w:pPr>
    </w:lvl>
    <w:lvl w:ilvl="5">
      <w:numFmt w:val="bullet"/>
      <w:lvlText w:val="•"/>
      <w:lvlJc w:val="left"/>
      <w:pPr>
        <w:ind w:left="3075" w:hanging="118"/>
      </w:pPr>
    </w:lvl>
    <w:lvl w:ilvl="6">
      <w:numFmt w:val="bullet"/>
      <w:lvlText w:val="•"/>
      <w:lvlJc w:val="left"/>
      <w:pPr>
        <w:ind w:left="4370" w:hanging="118"/>
      </w:pPr>
    </w:lvl>
    <w:lvl w:ilvl="7">
      <w:numFmt w:val="bullet"/>
      <w:lvlText w:val="•"/>
      <w:lvlJc w:val="left"/>
      <w:pPr>
        <w:ind w:left="5665" w:hanging="118"/>
      </w:pPr>
    </w:lvl>
    <w:lvl w:ilvl="8">
      <w:numFmt w:val="bullet"/>
      <w:lvlText w:val="•"/>
      <w:lvlJc w:val="left"/>
      <w:pPr>
        <w:ind w:left="6960" w:hanging="118"/>
      </w:pPr>
    </w:lvl>
  </w:abstractNum>
  <w:abstractNum w:abstractNumId="25" w15:restartNumberingAfterBreak="0">
    <w:nsid w:val="6D070196"/>
    <w:multiLevelType w:val="multilevel"/>
    <w:tmpl w:val="FF667B3A"/>
    <w:lvl w:ilvl="0">
      <w:start w:val="1"/>
      <w:numFmt w:val="decimal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abstractNum w:abstractNumId="26" w15:restartNumberingAfterBreak="0">
    <w:nsid w:val="700B17E5"/>
    <w:multiLevelType w:val="multilevel"/>
    <w:tmpl w:val="E24AC362"/>
    <w:lvl w:ilvl="0">
      <w:start w:val="1"/>
      <w:numFmt w:val="decimal"/>
      <w:lvlText w:val="%1."/>
      <w:lvlJc w:val="left"/>
      <w:pPr>
        <w:ind w:left="705" w:hanging="360"/>
      </w:pPr>
    </w:lvl>
    <w:lvl w:ilvl="1">
      <w:start w:val="1"/>
      <w:numFmt w:val="lowerLetter"/>
      <w:lvlText w:val="%2."/>
      <w:lvlJc w:val="left"/>
      <w:pPr>
        <w:ind w:left="1425" w:hanging="360"/>
      </w:pPr>
    </w:lvl>
    <w:lvl w:ilvl="2">
      <w:start w:val="1"/>
      <w:numFmt w:val="lowerRoman"/>
      <w:lvlText w:val="%3."/>
      <w:lvlJc w:val="right"/>
      <w:pPr>
        <w:ind w:left="2145" w:hanging="180"/>
      </w:pPr>
    </w:lvl>
    <w:lvl w:ilvl="3">
      <w:start w:val="1"/>
      <w:numFmt w:val="decimal"/>
      <w:lvlText w:val="%4."/>
      <w:lvlJc w:val="left"/>
      <w:pPr>
        <w:ind w:left="2865" w:hanging="360"/>
      </w:pPr>
    </w:lvl>
    <w:lvl w:ilvl="4">
      <w:start w:val="1"/>
      <w:numFmt w:val="lowerLetter"/>
      <w:lvlText w:val="%5."/>
      <w:lvlJc w:val="left"/>
      <w:pPr>
        <w:ind w:left="3585" w:hanging="360"/>
      </w:pPr>
    </w:lvl>
    <w:lvl w:ilvl="5">
      <w:start w:val="1"/>
      <w:numFmt w:val="lowerRoman"/>
      <w:lvlText w:val="%6."/>
      <w:lvlJc w:val="right"/>
      <w:pPr>
        <w:ind w:left="4305" w:hanging="180"/>
      </w:pPr>
    </w:lvl>
    <w:lvl w:ilvl="6">
      <w:start w:val="1"/>
      <w:numFmt w:val="decimal"/>
      <w:lvlText w:val="%7."/>
      <w:lvlJc w:val="left"/>
      <w:pPr>
        <w:ind w:left="5025" w:hanging="360"/>
      </w:pPr>
    </w:lvl>
    <w:lvl w:ilvl="7">
      <w:start w:val="1"/>
      <w:numFmt w:val="lowerLetter"/>
      <w:lvlText w:val="%8."/>
      <w:lvlJc w:val="left"/>
      <w:pPr>
        <w:ind w:left="5745" w:hanging="360"/>
      </w:pPr>
    </w:lvl>
    <w:lvl w:ilvl="8">
      <w:start w:val="1"/>
      <w:numFmt w:val="lowerRoman"/>
      <w:lvlText w:val="%9."/>
      <w:lvlJc w:val="right"/>
      <w:pPr>
        <w:ind w:left="6465" w:hanging="180"/>
      </w:pPr>
    </w:lvl>
  </w:abstractNum>
  <w:num w:numId="1" w16cid:durableId="763302598">
    <w:abstractNumId w:val="18"/>
  </w:num>
  <w:num w:numId="2" w16cid:durableId="1531067891">
    <w:abstractNumId w:val="5"/>
  </w:num>
  <w:num w:numId="3" w16cid:durableId="7370830">
    <w:abstractNumId w:val="17"/>
  </w:num>
  <w:num w:numId="4" w16cid:durableId="445734307">
    <w:abstractNumId w:val="14"/>
  </w:num>
  <w:num w:numId="5" w16cid:durableId="1171336864">
    <w:abstractNumId w:val="16"/>
  </w:num>
  <w:num w:numId="6" w16cid:durableId="2043552644">
    <w:abstractNumId w:val="0"/>
  </w:num>
  <w:num w:numId="7" w16cid:durableId="1105463462">
    <w:abstractNumId w:val="8"/>
  </w:num>
  <w:num w:numId="8" w16cid:durableId="1656686122">
    <w:abstractNumId w:val="22"/>
  </w:num>
  <w:num w:numId="9" w16cid:durableId="1253319872">
    <w:abstractNumId w:val="11"/>
  </w:num>
  <w:num w:numId="10" w16cid:durableId="1671063908">
    <w:abstractNumId w:val="7"/>
  </w:num>
  <w:num w:numId="11" w16cid:durableId="643311527">
    <w:abstractNumId w:val="21"/>
  </w:num>
  <w:num w:numId="12" w16cid:durableId="539901073">
    <w:abstractNumId w:val="24"/>
  </w:num>
  <w:num w:numId="13" w16cid:durableId="543827998">
    <w:abstractNumId w:val="12"/>
  </w:num>
  <w:num w:numId="14" w16cid:durableId="2108571240">
    <w:abstractNumId w:val="10"/>
  </w:num>
  <w:num w:numId="15" w16cid:durableId="1815482329">
    <w:abstractNumId w:val="1"/>
  </w:num>
  <w:num w:numId="16" w16cid:durableId="727219249">
    <w:abstractNumId w:val="2"/>
  </w:num>
  <w:num w:numId="17" w16cid:durableId="276524761">
    <w:abstractNumId w:val="13"/>
  </w:num>
  <w:num w:numId="18" w16cid:durableId="1926566700">
    <w:abstractNumId w:val="9"/>
  </w:num>
  <w:num w:numId="19" w16cid:durableId="224342430">
    <w:abstractNumId w:val="6"/>
  </w:num>
  <w:num w:numId="20" w16cid:durableId="631906422">
    <w:abstractNumId w:val="26"/>
  </w:num>
  <w:num w:numId="21" w16cid:durableId="218789680">
    <w:abstractNumId w:val="3"/>
  </w:num>
  <w:num w:numId="22" w16cid:durableId="627122728">
    <w:abstractNumId w:val="15"/>
  </w:num>
  <w:num w:numId="23" w16cid:durableId="957570544">
    <w:abstractNumId w:val="4"/>
  </w:num>
  <w:num w:numId="24" w16cid:durableId="699279936">
    <w:abstractNumId w:val="20"/>
  </w:num>
  <w:num w:numId="25" w16cid:durableId="166333585">
    <w:abstractNumId w:val="23"/>
  </w:num>
  <w:num w:numId="26" w16cid:durableId="1311053395">
    <w:abstractNumId w:val="25"/>
  </w:num>
  <w:num w:numId="27" w16cid:durableId="2122721693">
    <w:abstractNumId w:val="19"/>
  </w:num>
  <w:num w:numId="28" w16cid:durableId="96616106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39204865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3362280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612B"/>
    <w:rsid w:val="0012612B"/>
    <w:rsid w:val="009A181E"/>
    <w:rsid w:val="009D5C4A"/>
    <w:rsid w:val="00FF6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329F73"/>
  <w15:docId w15:val="{64B9C326-F7CE-4306-AFFD-CB041D0C4C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9" w:line="248" w:lineRule="auto"/>
        <w:ind w:left="10" w:right="5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0" w:line="259" w:lineRule="auto"/>
      <w:ind w:right="0" w:hanging="10"/>
      <w:jc w:val="left"/>
      <w:outlineLvl w:val="0"/>
    </w:pPr>
    <w:rPr>
      <w:b/>
      <w:bCs/>
      <w:color w:val="00000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40" w:after="0"/>
      <w:outlineLvl w:val="1"/>
    </w:pPr>
    <w:rPr>
      <w:rFonts w:ascii="Play" w:eastAsia="Play" w:hAnsi="Play" w:cs="Play"/>
      <w:color w:val="0F4761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1Znak">
    <w:name w:val="Nagłówek 1 Znak"/>
    <w:rPr>
      <w:rFonts w:ascii="Calibri" w:eastAsia="Calibri" w:hAnsi="Calibri" w:cs="Calibri"/>
      <w:b/>
      <w:color w:val="000000"/>
      <w:sz w:val="22"/>
    </w:rPr>
  </w:style>
  <w:style w:type="paragraph" w:styleId="Akapitzlist">
    <w:name w:val="List Paragraph"/>
    <w:aliases w:val="Numerowanie,Akapit z listą BS,Kolorowa lista — akcent 11,L1,List Paragraph,Akapit normalny,List Paragraph2,CW_Lista,lp1,Preambuła,Dot pt,F5 List Paragraph,Recommendation,List Paragraph11,Podsis rysunku,Bulleted list,Odstavec,sw tekst,Obie"/>
    <w:uiPriority w:val="34"/>
    <w:qFormat/>
    <w:rsid w:val="000837A3"/>
    <w:pPr>
      <w:ind w:left="720"/>
      <w:contextualSpacing/>
    </w:pPr>
  </w:style>
  <w:style w:type="paragraph" w:styleId="Poprawka">
    <w:name w:val="Revision"/>
    <w:hidden/>
    <w:uiPriority w:val="99"/>
    <w:semiHidden/>
    <w:rsid w:val="004A5165"/>
    <w:pPr>
      <w:spacing w:after="0" w:line="240" w:lineRule="auto"/>
    </w:pPr>
    <w:rPr>
      <w:color w:val="000000"/>
    </w:rPr>
  </w:style>
  <w:style w:type="character" w:customStyle="1" w:styleId="Nagwek2Znak">
    <w:name w:val="Nagłówek 2 Znak"/>
    <w:basedOn w:val="Domylnaczcionkaakapitu"/>
    <w:uiPriority w:val="9"/>
    <w:semiHidden/>
    <w:rsid w:val="00145801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customStyle="1" w:styleId="Standard">
    <w:name w:val="Standard"/>
    <w:qFormat/>
    <w:rsid w:val="00145801"/>
    <w:pPr>
      <w:tabs>
        <w:tab w:val="left" w:pos="713"/>
      </w:tabs>
      <w:suppressAutoHyphens/>
      <w:autoSpaceDN w:val="0"/>
      <w:spacing w:after="200" w:line="276" w:lineRule="auto"/>
      <w:ind w:left="5" w:right="38" w:hanging="5"/>
      <w:textAlignment w:val="baseline"/>
    </w:pPr>
    <w:rPr>
      <w:rFonts w:ascii="Liberation Serif" w:eastAsia="SimSun" w:hAnsi="Liberation Serif" w:cs="Mangal"/>
      <w:kern w:val="3"/>
      <w:lang w:val="en-US" w:eastAsia="zh-CN" w:bidi="hi-IN"/>
    </w:rPr>
  </w:style>
  <w:style w:type="numbering" w:customStyle="1" w:styleId="WWNum2">
    <w:name w:val="WWNum2"/>
    <w:basedOn w:val="Bezlisty"/>
    <w:rsid w:val="00145801"/>
  </w:style>
  <w:style w:type="numbering" w:customStyle="1" w:styleId="WWNum16">
    <w:name w:val="WWNum16"/>
    <w:basedOn w:val="Bezlisty"/>
    <w:rsid w:val="00145801"/>
  </w:style>
  <w:style w:type="numbering" w:customStyle="1" w:styleId="WWNum28">
    <w:name w:val="WWNum28"/>
    <w:basedOn w:val="Bezlisty"/>
    <w:rsid w:val="00145801"/>
  </w:style>
  <w:style w:type="numbering" w:customStyle="1" w:styleId="WWNum30">
    <w:name w:val="WWNum30"/>
    <w:basedOn w:val="Bezlisty"/>
    <w:rsid w:val="00145801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/I1/BqH6osejhqiGClKKHKu3Ow==">CgMxLjAyDmguaWwydGs5bzJoOHJtMg5oLmw2Zm9zZDUxZHZzZDgAciExLW1CTE5Nd0FYcE9xVWZyUTBzaW9ObVRoY0FnQm1BVUg=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3279</Words>
  <Characters>19674</Characters>
  <Application>Microsoft Office Word</Application>
  <DocSecurity>0</DocSecurity>
  <Lines>163</Lines>
  <Paragraphs>45</Paragraphs>
  <ScaleCrop>false</ScaleCrop>
  <Company/>
  <LinksUpToDate>false</LinksUpToDate>
  <CharactersWithSpaces>22908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Karina Lechowska</cp:lastModifiedBy>
  <cp:revision>2</cp:revision>
  <dcterms:created xsi:type="dcterms:W3CDTF">2025-02-24T10:25:00Z</dcterms:created>
  <dcterms:modified xsi:type="dcterms:W3CDTF">2026-03-04T07:35:00Z</dcterms:modified>
</cp:coreProperties>
</file>